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8077"/>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חננאל שרעבי</w:t>
                </w:r>
              </w:sdtContent>
            </w:sdt>
          </w:p>
          <w:p w:rsidR="0094424E" w:rsidRPr="00DD05A8" w:rsidRDefault="0094424E" w:rsidP="00D44968">
            <w:pPr>
              <w:suppressLineNumbers/>
              <w:rPr>
                <w:rFonts w:ascii="Arial" w:hAnsi="Arial" w:cs="FrankRuehl"/>
                <w:sz w:val="26"/>
                <w:szCs w:val="26"/>
                <w:highlight w:val="yellow"/>
              </w:rPr>
            </w:pPr>
          </w:p>
        </w:tc>
      </w:tr>
    </w:tbl>
    <w:p w:rsidR="00AC4D4B" w:rsidRDefault="00AC4D4B" w:rsidP="00AC4D4B">
      <w:pPr>
        <w:spacing w:after="120"/>
        <w:rPr>
          <w:b/>
          <w:bCs/>
          <w:sz w:val="26"/>
          <w:szCs w:val="26"/>
        </w:rPr>
      </w:pPr>
    </w:p>
    <w:p w:rsidR="00AC4D4B" w:rsidRDefault="00AC4D4B" w:rsidP="002D45CB">
      <w:pPr>
        <w:spacing w:after="120"/>
        <w:rPr>
          <w:b/>
          <w:bCs/>
          <w:sz w:val="26"/>
          <w:szCs w:val="26"/>
          <w:rtl/>
        </w:rPr>
      </w:pPr>
      <w:r>
        <w:rPr>
          <w:b/>
          <w:bCs/>
          <w:sz w:val="26"/>
          <w:szCs w:val="26"/>
          <w:rtl/>
        </w:rPr>
        <w:tab/>
        <w:t>המבקשת</w:t>
      </w:r>
      <w:r>
        <w:rPr>
          <w:b/>
          <w:bCs/>
          <w:sz w:val="26"/>
          <w:szCs w:val="26"/>
          <w:rtl/>
        </w:rPr>
        <w:tab/>
      </w:r>
      <w:r>
        <w:rPr>
          <w:b/>
          <w:bCs/>
          <w:sz w:val="26"/>
          <w:szCs w:val="26"/>
          <w:rtl/>
        </w:rPr>
        <w:tab/>
      </w:r>
      <w:r>
        <w:rPr>
          <w:b/>
          <w:bCs/>
          <w:sz w:val="26"/>
          <w:szCs w:val="26"/>
          <w:rtl/>
        </w:rPr>
        <w:tab/>
      </w:r>
      <w:r w:rsidR="002D45CB">
        <w:rPr>
          <w:rFonts w:hint="cs"/>
          <w:b/>
          <w:bCs/>
          <w:sz w:val="26"/>
          <w:szCs w:val="26"/>
          <w:rtl/>
        </w:rPr>
        <w:t>נ. ו</w:t>
      </w:r>
    </w:p>
    <w:p w:rsidR="00AC4D4B" w:rsidRDefault="00AC4D4B" w:rsidP="00AC4D4B">
      <w:pPr>
        <w:spacing w:after="120"/>
        <w:rPr>
          <w:b/>
          <w:bCs/>
          <w:sz w:val="26"/>
          <w:szCs w:val="26"/>
          <w:rtl/>
        </w:rPr>
      </w:pPr>
      <w:r>
        <w:rPr>
          <w:b/>
          <w:bCs/>
          <w:sz w:val="26"/>
          <w:szCs w:val="26"/>
          <w:rtl/>
        </w:rPr>
        <w:tab/>
      </w:r>
      <w:r>
        <w:rPr>
          <w:b/>
          <w:bCs/>
          <w:sz w:val="26"/>
          <w:szCs w:val="26"/>
          <w:rtl/>
        </w:rPr>
        <w:tab/>
      </w:r>
      <w:r>
        <w:rPr>
          <w:b/>
          <w:bCs/>
          <w:sz w:val="26"/>
          <w:szCs w:val="26"/>
          <w:rtl/>
        </w:rPr>
        <w:tab/>
      </w:r>
      <w:r>
        <w:rPr>
          <w:b/>
          <w:bCs/>
          <w:sz w:val="26"/>
          <w:szCs w:val="26"/>
          <w:rtl/>
        </w:rPr>
        <w:tab/>
      </w:r>
      <w:r>
        <w:rPr>
          <w:b/>
          <w:bCs/>
          <w:sz w:val="26"/>
          <w:szCs w:val="26"/>
          <w:rtl/>
        </w:rPr>
        <w:tab/>
        <w:t>ע"י ב"כ עו"ד שרין סולן</w:t>
      </w:r>
    </w:p>
    <w:p w:rsidR="00AC4D4B" w:rsidRDefault="00AC4D4B" w:rsidP="00AC4D4B">
      <w:pPr>
        <w:spacing w:after="120"/>
        <w:rPr>
          <w:b/>
          <w:bCs/>
          <w:sz w:val="26"/>
          <w:szCs w:val="26"/>
          <w:rtl/>
        </w:rPr>
      </w:pPr>
    </w:p>
    <w:p w:rsidR="00AC4D4B" w:rsidRDefault="00AC4D4B" w:rsidP="00AC4D4B">
      <w:pPr>
        <w:spacing w:after="120"/>
        <w:rPr>
          <w:b/>
          <w:bCs/>
          <w:sz w:val="26"/>
          <w:szCs w:val="26"/>
          <w:rtl/>
        </w:rPr>
      </w:pPr>
      <w:r>
        <w:rPr>
          <w:b/>
          <w:bCs/>
          <w:sz w:val="26"/>
          <w:szCs w:val="26"/>
          <w:rtl/>
        </w:rPr>
        <w:tab/>
      </w:r>
      <w:r>
        <w:rPr>
          <w:b/>
          <w:bCs/>
          <w:sz w:val="26"/>
          <w:szCs w:val="26"/>
          <w:rtl/>
        </w:rPr>
        <w:tab/>
      </w:r>
      <w:r>
        <w:rPr>
          <w:b/>
          <w:bCs/>
          <w:sz w:val="26"/>
          <w:szCs w:val="26"/>
          <w:rtl/>
        </w:rPr>
        <w:tab/>
      </w:r>
      <w:r>
        <w:rPr>
          <w:b/>
          <w:bCs/>
          <w:sz w:val="26"/>
          <w:szCs w:val="26"/>
          <w:rtl/>
        </w:rPr>
        <w:tab/>
      </w:r>
      <w:r>
        <w:rPr>
          <w:b/>
          <w:bCs/>
          <w:sz w:val="26"/>
          <w:szCs w:val="26"/>
          <w:rtl/>
        </w:rPr>
        <w:tab/>
      </w:r>
      <w:r>
        <w:rPr>
          <w:rFonts w:hint="cs"/>
          <w:b/>
          <w:bCs/>
          <w:sz w:val="26"/>
          <w:szCs w:val="26"/>
          <w:rtl/>
        </w:rPr>
        <w:t xml:space="preserve">    </w:t>
      </w:r>
      <w:r>
        <w:rPr>
          <w:b/>
          <w:bCs/>
          <w:sz w:val="26"/>
          <w:szCs w:val="26"/>
          <w:rtl/>
        </w:rPr>
        <w:tab/>
      </w:r>
      <w:r>
        <w:rPr>
          <w:rFonts w:hint="cs"/>
          <w:b/>
          <w:bCs/>
          <w:sz w:val="26"/>
          <w:szCs w:val="26"/>
          <w:rtl/>
        </w:rPr>
        <w:t xml:space="preserve">  </w:t>
      </w:r>
      <w:r>
        <w:rPr>
          <w:b/>
          <w:bCs/>
          <w:sz w:val="26"/>
          <w:szCs w:val="26"/>
          <w:rtl/>
        </w:rPr>
        <w:t>נגד</w:t>
      </w:r>
    </w:p>
    <w:p w:rsidR="00AC4D4B" w:rsidRDefault="00AC4D4B" w:rsidP="00AC4D4B">
      <w:pPr>
        <w:spacing w:after="120"/>
        <w:rPr>
          <w:b/>
          <w:bCs/>
          <w:sz w:val="26"/>
          <w:szCs w:val="26"/>
          <w:rtl/>
        </w:rPr>
      </w:pPr>
    </w:p>
    <w:p w:rsidR="00AC4D4B" w:rsidRDefault="00AC4D4B" w:rsidP="002D45CB">
      <w:pPr>
        <w:spacing w:after="120"/>
        <w:rPr>
          <w:b/>
          <w:bCs/>
          <w:sz w:val="26"/>
          <w:szCs w:val="26"/>
          <w:rtl/>
        </w:rPr>
      </w:pPr>
      <w:r>
        <w:rPr>
          <w:b/>
          <w:bCs/>
          <w:sz w:val="26"/>
          <w:szCs w:val="26"/>
          <w:rtl/>
        </w:rPr>
        <w:tab/>
        <w:t>המשיב</w:t>
      </w:r>
      <w:r>
        <w:rPr>
          <w:b/>
          <w:bCs/>
          <w:sz w:val="26"/>
          <w:szCs w:val="26"/>
          <w:rtl/>
        </w:rPr>
        <w:tab/>
      </w:r>
      <w:r>
        <w:rPr>
          <w:b/>
          <w:bCs/>
          <w:sz w:val="26"/>
          <w:szCs w:val="26"/>
          <w:rtl/>
        </w:rPr>
        <w:tab/>
      </w:r>
      <w:r>
        <w:rPr>
          <w:b/>
          <w:bCs/>
          <w:sz w:val="26"/>
          <w:szCs w:val="26"/>
          <w:rtl/>
        </w:rPr>
        <w:tab/>
      </w:r>
      <w:r>
        <w:rPr>
          <w:b/>
          <w:bCs/>
          <w:sz w:val="26"/>
          <w:szCs w:val="26"/>
          <w:rtl/>
        </w:rPr>
        <w:tab/>
      </w:r>
      <w:r w:rsidR="002D45CB">
        <w:rPr>
          <w:rFonts w:hint="cs"/>
          <w:b/>
          <w:bCs/>
          <w:sz w:val="26"/>
          <w:szCs w:val="26"/>
          <w:rtl/>
        </w:rPr>
        <w:t>ס. ו</w:t>
      </w:r>
    </w:p>
    <w:p w:rsidR="00AC4D4B" w:rsidRDefault="00AC4D4B" w:rsidP="00AC4D4B">
      <w:pPr>
        <w:spacing w:after="120"/>
        <w:rPr>
          <w:b/>
          <w:bCs/>
          <w:sz w:val="26"/>
          <w:szCs w:val="26"/>
          <w:rtl/>
        </w:rPr>
      </w:pPr>
      <w:r>
        <w:rPr>
          <w:b/>
          <w:bCs/>
          <w:sz w:val="26"/>
          <w:szCs w:val="26"/>
          <w:rtl/>
        </w:rPr>
        <w:tab/>
      </w:r>
      <w:r>
        <w:rPr>
          <w:b/>
          <w:bCs/>
          <w:sz w:val="26"/>
          <w:szCs w:val="26"/>
          <w:rtl/>
        </w:rPr>
        <w:tab/>
      </w:r>
      <w:r>
        <w:rPr>
          <w:b/>
          <w:bCs/>
          <w:sz w:val="26"/>
          <w:szCs w:val="26"/>
          <w:rtl/>
        </w:rPr>
        <w:tab/>
      </w:r>
      <w:r>
        <w:rPr>
          <w:b/>
          <w:bCs/>
          <w:sz w:val="26"/>
          <w:szCs w:val="26"/>
          <w:rtl/>
        </w:rPr>
        <w:tab/>
      </w:r>
      <w:r>
        <w:rPr>
          <w:b/>
          <w:bCs/>
          <w:sz w:val="26"/>
          <w:szCs w:val="26"/>
          <w:rtl/>
        </w:rPr>
        <w:tab/>
        <w:t>ע"י ב"כ עו"ד גבי שמואלי</w:t>
      </w:r>
    </w:p>
    <w:p w:rsidR="00AC4D4B" w:rsidRDefault="00AC4D4B" w:rsidP="00AC4D4B">
      <w:pPr>
        <w:rPr>
          <w:rtl/>
        </w:rPr>
      </w:pPr>
    </w:p>
    <w:p w:rsidR="00AC4D4B" w:rsidRDefault="00AC4D4B" w:rsidP="00AC4D4B">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AC4D4B" w:rsidTr="00AC4D4B">
        <w:trPr>
          <w:jc w:val="center"/>
        </w:trPr>
        <w:tc>
          <w:tcPr>
            <w:tcW w:w="8820" w:type="dxa"/>
          </w:tcPr>
          <w:p w:rsidR="00AC4D4B" w:rsidRDefault="00AC4D4B" w:rsidP="00AC4D4B">
            <w:pPr>
              <w:bidi w:val="0"/>
              <w:spacing w:line="360" w:lineRule="auto"/>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AC4D4B" w:rsidRDefault="00AC4D4B">
            <w:pPr>
              <w:bidi w:val="0"/>
              <w:jc w:val="center"/>
              <w:rPr>
                <w:rFonts w:ascii="Arial" w:hAnsi="Arial"/>
                <w:b/>
                <w:bCs/>
                <w:noProof w:val="0"/>
                <w:sz w:val="28"/>
                <w:szCs w:val="28"/>
                <w:u w:val="single"/>
                <w:rtl/>
              </w:rPr>
            </w:pPr>
          </w:p>
        </w:tc>
      </w:tr>
    </w:tbl>
    <w:p w:rsidR="00AC4D4B" w:rsidRDefault="00AC4D4B" w:rsidP="00AC4D4B">
      <w:pPr>
        <w:spacing w:after="120" w:line="360" w:lineRule="auto"/>
        <w:ind w:left="720" w:hanging="720"/>
        <w:jc w:val="both"/>
        <w:rPr>
          <w:rFonts w:ascii="Arial" w:hAnsi="Arial"/>
          <w:noProof w:val="0"/>
        </w:rPr>
      </w:pPr>
      <w:r>
        <w:rPr>
          <w:rFonts w:ascii="Arial" w:hAnsi="Arial"/>
          <w:noProof w:val="0"/>
          <w:rtl/>
        </w:rPr>
        <w:t>1.</w:t>
      </w:r>
      <w:r>
        <w:rPr>
          <w:rFonts w:ascii="Arial" w:hAnsi="Arial"/>
          <w:noProof w:val="0"/>
          <w:rtl/>
        </w:rPr>
        <w:tab/>
        <w:t xml:space="preserve">עסקינן בבקשת רשות ערעור על החלטת בית המשפט לענייני משפחה בקריות (כב' השופט ניר זיתוני) בתיק </w:t>
      </w:r>
      <w:proofErr w:type="spellStart"/>
      <w:r>
        <w:rPr>
          <w:rFonts w:ascii="Arial" w:hAnsi="Arial"/>
          <w:noProof w:val="0"/>
          <w:rtl/>
        </w:rPr>
        <w:t>תלה"מ</w:t>
      </w:r>
      <w:proofErr w:type="spellEnd"/>
      <w:r>
        <w:rPr>
          <w:rFonts w:ascii="Arial" w:hAnsi="Arial"/>
          <w:noProof w:val="0"/>
          <w:rtl/>
        </w:rPr>
        <w:t xml:space="preserve"> 45067-11-23 מיום 26.6.24 (להלן: "</w:t>
      </w:r>
      <w:r>
        <w:rPr>
          <w:rFonts w:ascii="Arial" w:hAnsi="Arial"/>
          <w:b/>
          <w:bCs/>
          <w:noProof w:val="0"/>
          <w:rtl/>
        </w:rPr>
        <w:t>התיק</w:t>
      </w:r>
      <w:r>
        <w:rPr>
          <w:rFonts w:ascii="Arial" w:hAnsi="Arial"/>
          <w:noProof w:val="0"/>
          <w:rtl/>
        </w:rPr>
        <w:t xml:space="preserve"> </w:t>
      </w:r>
      <w:r>
        <w:rPr>
          <w:rFonts w:ascii="Arial" w:hAnsi="Arial"/>
          <w:b/>
          <w:bCs/>
          <w:noProof w:val="0"/>
          <w:rtl/>
        </w:rPr>
        <w:t>קמא</w:t>
      </w:r>
      <w:r>
        <w:rPr>
          <w:rFonts w:ascii="Arial" w:hAnsi="Arial"/>
          <w:noProof w:val="0"/>
          <w:rtl/>
        </w:rPr>
        <w:t>" ו- "</w:t>
      </w:r>
      <w:r>
        <w:rPr>
          <w:rFonts w:ascii="Arial" w:hAnsi="Arial"/>
          <w:b/>
          <w:bCs/>
          <w:noProof w:val="0"/>
          <w:rtl/>
        </w:rPr>
        <w:t>ההחלטה</w:t>
      </w:r>
      <w:r>
        <w:rPr>
          <w:rFonts w:ascii="Arial" w:hAnsi="Arial"/>
          <w:noProof w:val="0"/>
          <w:rtl/>
        </w:rPr>
        <w:t xml:space="preserve"> </w:t>
      </w:r>
      <w:r>
        <w:rPr>
          <w:rFonts w:ascii="Arial" w:hAnsi="Arial"/>
          <w:b/>
          <w:bCs/>
          <w:noProof w:val="0"/>
          <w:rtl/>
        </w:rPr>
        <w:t>קמא</w:t>
      </w:r>
      <w:r>
        <w:rPr>
          <w:rFonts w:ascii="Arial" w:hAnsi="Arial"/>
          <w:noProof w:val="0"/>
          <w:rtl/>
        </w:rPr>
        <w:t>", בהתאמה) במסגרתה נדחתה בקשת המבקשת להאריך המועד להשלמת ההליכים לרכישת זכויות המשיב בדירת הצדדים, והכל כפי שיפורט להלן.</w:t>
      </w:r>
    </w:p>
    <w:p w:rsidR="00AC4D4B" w:rsidRDefault="00AC4D4B" w:rsidP="00AC4D4B">
      <w:pPr>
        <w:spacing w:after="120" w:line="360" w:lineRule="auto"/>
        <w:ind w:left="720" w:hanging="720"/>
        <w:rPr>
          <w:rtl/>
        </w:rPr>
      </w:pPr>
    </w:p>
    <w:p w:rsidR="00AC4D4B" w:rsidRDefault="00AC4D4B" w:rsidP="00AC4D4B">
      <w:pPr>
        <w:spacing w:after="120" w:line="360" w:lineRule="auto"/>
        <w:ind w:left="720" w:hanging="720"/>
        <w:jc w:val="both"/>
        <w:rPr>
          <w:rFonts w:ascii="Arial" w:hAnsi="Arial"/>
          <w:noProof w:val="0"/>
        </w:rPr>
      </w:pPr>
      <w:r>
        <w:rPr>
          <w:rFonts w:ascii="David" w:hAnsi="David"/>
          <w:b/>
          <w:bCs/>
          <w:noProof w:val="0"/>
          <w:u w:val="single"/>
          <w:rtl/>
        </w:rPr>
        <w:t>רקע וההחלטה קמא</w:t>
      </w:r>
    </w:p>
    <w:p w:rsidR="00AC4D4B" w:rsidRDefault="00AC4D4B" w:rsidP="00AC4D4B">
      <w:pPr>
        <w:spacing w:after="120" w:line="360" w:lineRule="auto"/>
        <w:ind w:left="720" w:hanging="720"/>
        <w:jc w:val="both"/>
        <w:rPr>
          <w:rFonts w:ascii="Arial" w:hAnsi="Arial"/>
          <w:noProof w:val="0"/>
          <w:rtl/>
        </w:rPr>
      </w:pPr>
      <w:r>
        <w:rPr>
          <w:rFonts w:ascii="Arial" w:hAnsi="Arial"/>
          <w:noProof w:val="0"/>
          <w:rtl/>
        </w:rPr>
        <w:t>2.</w:t>
      </w:r>
      <w:r>
        <w:rPr>
          <w:rFonts w:ascii="Arial" w:hAnsi="Arial"/>
          <w:noProof w:val="0"/>
          <w:rtl/>
        </w:rPr>
        <w:tab/>
        <w:t xml:space="preserve">המבקשת והמשיב יהודים, נישאו </w:t>
      </w:r>
      <w:proofErr w:type="spellStart"/>
      <w:r>
        <w:rPr>
          <w:rFonts w:ascii="Arial" w:hAnsi="Arial"/>
          <w:noProof w:val="0"/>
          <w:rtl/>
        </w:rPr>
        <w:t>זל"ז</w:t>
      </w:r>
      <w:proofErr w:type="spellEnd"/>
      <w:r>
        <w:rPr>
          <w:rFonts w:ascii="Arial" w:hAnsi="Arial"/>
          <w:noProof w:val="0"/>
          <w:rtl/>
        </w:rPr>
        <w:t xml:space="preserve"> כדמו"י בשנת 2009. מנישואיהם, נולדו לצדדים שני קטינים אשר עיון בתיק קמא, מלמד כי הם מצויים בחזקת המשיב ומקיימים מפגשים עם המבקשת. במהלך שנת 2023 עלו יחסי הצדדים על שרטון והם נפרדו.</w:t>
      </w:r>
    </w:p>
    <w:p w:rsidR="00AC4D4B" w:rsidRDefault="00AC4D4B" w:rsidP="00D86772">
      <w:pPr>
        <w:spacing w:after="120" w:line="360" w:lineRule="auto"/>
        <w:ind w:left="720" w:hanging="720"/>
        <w:jc w:val="both"/>
        <w:rPr>
          <w:rFonts w:ascii="Arial" w:hAnsi="Arial"/>
          <w:noProof w:val="0"/>
          <w:rtl/>
        </w:rPr>
      </w:pPr>
      <w:r>
        <w:rPr>
          <w:rFonts w:ascii="Arial" w:hAnsi="Arial"/>
          <w:noProof w:val="0"/>
          <w:rtl/>
        </w:rPr>
        <w:t>3.</w:t>
      </w:r>
      <w:r>
        <w:rPr>
          <w:rFonts w:ascii="Arial" w:hAnsi="Arial"/>
          <w:noProof w:val="0"/>
          <w:rtl/>
        </w:rPr>
        <w:tab/>
        <w:t xml:space="preserve">המשיב והקטינים מתגוררים בדירת מגורים ברחוב </w:t>
      </w:r>
      <w:r w:rsidR="00D86772">
        <w:rPr>
          <w:rFonts w:ascii="Arial" w:hAnsi="Arial" w:hint="cs"/>
          <w:noProof w:val="0"/>
          <w:rtl/>
        </w:rPr>
        <w:t>...</w:t>
      </w:r>
      <w:r w:rsidR="00D86772">
        <w:rPr>
          <w:rFonts w:ascii="Arial" w:hAnsi="Arial"/>
          <w:noProof w:val="0"/>
          <w:rtl/>
        </w:rPr>
        <w:t xml:space="preserve"> ב</w:t>
      </w:r>
      <w:r w:rsidR="00D86772">
        <w:rPr>
          <w:rFonts w:ascii="Arial" w:hAnsi="Arial" w:hint="cs"/>
          <w:noProof w:val="0"/>
          <w:rtl/>
        </w:rPr>
        <w:t>...</w:t>
      </w:r>
      <w:r>
        <w:rPr>
          <w:rFonts w:ascii="Arial" w:hAnsi="Arial"/>
          <w:noProof w:val="0"/>
          <w:rtl/>
        </w:rPr>
        <w:t xml:space="preserve"> (להלן: "</w:t>
      </w:r>
      <w:r>
        <w:rPr>
          <w:rFonts w:ascii="Arial" w:hAnsi="Arial"/>
          <w:b/>
          <w:bCs/>
          <w:noProof w:val="0"/>
          <w:rtl/>
        </w:rPr>
        <w:t>הדירה</w:t>
      </w:r>
      <w:r>
        <w:rPr>
          <w:rFonts w:ascii="Arial" w:hAnsi="Arial"/>
          <w:noProof w:val="0"/>
          <w:rtl/>
        </w:rPr>
        <w:t>"). הדירה נרכשה על ידי הצדדים במהלך חייהם המשותפים, והיא בבעלות משותפת של הצדדים. יצוין כי המבקשת מתגוררת אצל אימה, וכי יש לה בת בגירה מנישואין קודמים.</w:t>
      </w:r>
    </w:p>
    <w:p w:rsidR="00AC4D4B" w:rsidRDefault="00AC4D4B" w:rsidP="00AC4D4B">
      <w:pPr>
        <w:spacing w:after="120" w:line="360" w:lineRule="auto"/>
        <w:ind w:left="720" w:hanging="720"/>
        <w:jc w:val="both"/>
        <w:rPr>
          <w:rFonts w:ascii="Arial" w:hAnsi="Arial"/>
          <w:noProof w:val="0"/>
          <w:rtl/>
        </w:rPr>
      </w:pPr>
      <w:r>
        <w:rPr>
          <w:rFonts w:ascii="Arial" w:hAnsi="Arial"/>
          <w:noProof w:val="0"/>
          <w:rtl/>
        </w:rPr>
        <w:t>4.</w:t>
      </w:r>
      <w:r>
        <w:rPr>
          <w:rFonts w:ascii="Arial" w:hAnsi="Arial"/>
          <w:noProof w:val="0"/>
          <w:rtl/>
        </w:rPr>
        <w:tab/>
        <w:t>ביום 21.11.2023 הגיש המשיב פה את התובענה קמא, לאיזון משאבים בהתאם לחוק יחסי ממון בין בני זוג, תשל"ג-1973. המבקש עתר למתן צו פירוק שיתוף בדירה, על ידי מכירתה בשוק החופשי למרבה במחיר, ולחלוקת התמורה שווה בשווה בין הצדדים לאחר כיסוי מלוא ההוצאות הרובצות על דירה.</w:t>
      </w:r>
    </w:p>
    <w:p w:rsidR="00AC4D4B" w:rsidRDefault="00AC4D4B" w:rsidP="00AC4D4B">
      <w:pPr>
        <w:spacing w:after="120" w:line="360" w:lineRule="auto"/>
        <w:ind w:left="720" w:hanging="720"/>
        <w:jc w:val="both"/>
        <w:rPr>
          <w:rFonts w:ascii="Arial" w:hAnsi="Arial"/>
          <w:noProof w:val="0"/>
          <w:rtl/>
        </w:rPr>
      </w:pPr>
      <w:r>
        <w:rPr>
          <w:rFonts w:ascii="Arial" w:hAnsi="Arial"/>
          <w:noProof w:val="0"/>
          <w:rtl/>
        </w:rPr>
        <w:t>5.</w:t>
      </w:r>
      <w:r>
        <w:rPr>
          <w:rFonts w:ascii="Arial" w:hAnsi="Arial"/>
          <w:noProof w:val="0"/>
          <w:rtl/>
        </w:rPr>
        <w:tab/>
        <w:t xml:space="preserve">ביום 5.3.24 התקיים דיון בתיק קמא במעמד הצדדים ובאי כוחם. עיון בפרוטוקול הדיון מלמד, כי התקיים דיון לא פורמלי ביוזמת הצדדים, ולאחריו, כפי שתועד, הצדדים הגיעו להסכמות אשר קיבלו בסוף הדיון תוקף של פסק דין בתביעה </w:t>
      </w:r>
      <w:proofErr w:type="spellStart"/>
      <w:r>
        <w:rPr>
          <w:rFonts w:ascii="Arial" w:hAnsi="Arial"/>
          <w:noProof w:val="0"/>
          <w:rtl/>
        </w:rPr>
        <w:t>הרכושית</w:t>
      </w:r>
      <w:proofErr w:type="spellEnd"/>
      <w:r>
        <w:rPr>
          <w:rFonts w:ascii="Arial" w:hAnsi="Arial"/>
          <w:noProof w:val="0"/>
          <w:rtl/>
        </w:rPr>
        <w:t xml:space="preserve"> ובתביעת המזונות (להלן: "</w:t>
      </w:r>
      <w:r>
        <w:rPr>
          <w:rFonts w:ascii="Arial" w:hAnsi="Arial"/>
          <w:b/>
          <w:bCs/>
          <w:noProof w:val="0"/>
          <w:rtl/>
        </w:rPr>
        <w:t>ההסכמות</w:t>
      </w:r>
      <w:r>
        <w:rPr>
          <w:rFonts w:ascii="Arial" w:hAnsi="Arial"/>
          <w:noProof w:val="0"/>
          <w:rtl/>
        </w:rPr>
        <w:t>").</w:t>
      </w:r>
    </w:p>
    <w:p w:rsidR="00AC4D4B" w:rsidRDefault="00AC4D4B" w:rsidP="00AC4D4B">
      <w:pPr>
        <w:spacing w:after="120" w:line="360" w:lineRule="auto"/>
        <w:ind w:left="720" w:hanging="720"/>
        <w:jc w:val="both"/>
        <w:rPr>
          <w:rFonts w:ascii="Arial" w:hAnsi="Arial"/>
          <w:noProof w:val="0"/>
          <w:rtl/>
        </w:rPr>
      </w:pPr>
      <w:r>
        <w:rPr>
          <w:rFonts w:ascii="Arial" w:hAnsi="Arial"/>
          <w:noProof w:val="0"/>
          <w:rtl/>
        </w:rPr>
        <w:lastRenderedPageBreak/>
        <w:t>6.</w:t>
      </w:r>
      <w:r>
        <w:rPr>
          <w:rFonts w:ascii="Arial" w:hAnsi="Arial"/>
          <w:noProof w:val="0"/>
          <w:rtl/>
        </w:rPr>
        <w:tab/>
      </w:r>
      <w:r>
        <w:rPr>
          <w:rFonts w:ascii="Arial" w:hAnsi="Arial"/>
          <w:noProof w:val="0"/>
          <w:u w:val="single"/>
          <w:rtl/>
        </w:rPr>
        <w:t>להלן נוסח ההסכמות הרלוונטיות לענייננו</w:t>
      </w:r>
      <w:r>
        <w:rPr>
          <w:rFonts w:ascii="Arial" w:hAnsi="Arial"/>
          <w:noProof w:val="0"/>
          <w:rtl/>
        </w:rPr>
        <w:t xml:space="preserve">: </w:t>
      </w:r>
    </w:p>
    <w:p w:rsidR="00AC4D4B" w:rsidRDefault="00AC4D4B" w:rsidP="00AC4D4B">
      <w:pPr>
        <w:spacing w:after="120" w:line="360" w:lineRule="auto"/>
        <w:ind w:left="1174" w:right="907" w:hanging="720"/>
        <w:jc w:val="both"/>
        <w:rPr>
          <w:rFonts w:ascii="Arial" w:hAnsi="Arial"/>
          <w:b/>
          <w:bCs/>
          <w:noProof w:val="0"/>
          <w:rtl/>
        </w:rPr>
      </w:pPr>
      <w:r>
        <w:rPr>
          <w:rFonts w:ascii="Arial" w:hAnsi="Arial"/>
          <w:noProof w:val="0"/>
          <w:rtl/>
        </w:rPr>
        <w:tab/>
        <w:t xml:space="preserve">"... </w:t>
      </w:r>
      <w:r>
        <w:rPr>
          <w:rFonts w:ascii="Arial" w:hAnsi="Arial"/>
          <w:b/>
          <w:bCs/>
          <w:noProof w:val="0"/>
          <w:rtl/>
        </w:rPr>
        <w:t>לא יאוחר מיום 19.3.24 הצדדים יסיימו את הבדיקות של היכולת של אחד מהם לרכוש את חלקו של הצד האחר בדירה, אף בדרך של 'רכישת זכויות עתידית' ויודיעו תוצאות הבדיקה לצד האחר. מדובר בדירה שנרכשה במסגרת מחיר למשתכן. יתרתה משכנתא לסילוק כ-840,000 ש"ח. אם יתברר בעקבות אותו בדיקות כי שני הצדדים יכולים ומסוגלים לרכוש את חלקו של הצד האחר בדירה, תיערך ביניהם התמחרות, אשר תתועד בפרוטוקול התמחרות בכתב. ההתמחרות תסתיים תוך 7 ימים ממועד ההודעות. המועד לתשלום של מי שזוכה בהתמחרות הוא תוך 60 יום מסיום ההתמחרות. אם אף אחד מהצדדים לא יצליח לרכוש את חלקו של האחר בדירה, הדירה תימכר לצד ג' כאשר ברור לצדדים כי לשם כך נדרש אישור של וועדת חריגים. לאחר קבלת האישור יוכלו הצדדים למכור את הדירה בעצמם במשך 90 יום ממועד קבלת האישור ואם לא יעלה הדבר בידם, ימונו ב"כ הצדדים ככונסי נכסים לשם מכירת הדירה לצד ג' המרבה במחיר... הצדדים מתחייבים לחתום על כל מסמך נדרש לשם ביצוע האמור לרבות מסמכי משכנתא.</w:t>
      </w:r>
      <w:r>
        <w:rPr>
          <w:rFonts w:ascii="Arial" w:hAnsi="Arial"/>
          <w:b/>
          <w:bCs/>
          <w:noProof w:val="0"/>
        </w:rPr>
        <w:t xml:space="preserve"> </w:t>
      </w:r>
      <w:r>
        <w:rPr>
          <w:rFonts w:ascii="Arial" w:hAnsi="Arial"/>
          <w:b/>
          <w:bCs/>
          <w:noProof w:val="0"/>
          <w:rtl/>
        </w:rPr>
        <w:t>מוסכם כי מי שיזכה בהתמחרות יגור בדירה. כיוון שהאיש גר כעת בדירה, אם האישה תזכה בהתמחרות האיש יקבל 30 יום להתארגנות לפני יציאתו מהדירה</w:t>
      </w:r>
      <w:r>
        <w:rPr>
          <w:rFonts w:ascii="Arial" w:hAnsi="Arial"/>
          <w:noProof w:val="0"/>
          <w:rtl/>
        </w:rPr>
        <w:t>"</w:t>
      </w:r>
      <w:r>
        <w:rPr>
          <w:rFonts w:ascii="Arial" w:hAnsi="Arial"/>
          <w:noProof w:val="0"/>
        </w:rPr>
        <w:t>.</w:t>
      </w:r>
    </w:p>
    <w:p w:rsidR="00AC4D4B" w:rsidRDefault="00AC4D4B" w:rsidP="00AC4D4B">
      <w:pPr>
        <w:spacing w:after="120" w:line="360" w:lineRule="auto"/>
        <w:ind w:left="720" w:hanging="720"/>
        <w:jc w:val="both"/>
        <w:rPr>
          <w:rFonts w:ascii="Arial" w:hAnsi="Arial"/>
          <w:noProof w:val="0"/>
          <w:rtl/>
        </w:rPr>
      </w:pPr>
      <w:r>
        <w:rPr>
          <w:rFonts w:ascii="Arial" w:hAnsi="Arial"/>
          <w:noProof w:val="0"/>
          <w:rtl/>
        </w:rPr>
        <w:t>7.</w:t>
      </w:r>
      <w:r>
        <w:rPr>
          <w:rFonts w:ascii="Arial" w:hAnsi="Arial"/>
          <w:noProof w:val="0"/>
          <w:rtl/>
        </w:rPr>
        <w:tab/>
        <w:t xml:space="preserve">בתחילת חודש אפריל 2024 הודיעו הן המבקשת והן המשיב, כי כל אחד מהם קיבל אישור עקרוני למשכנתא מהבנק. </w:t>
      </w:r>
      <w:r>
        <w:rPr>
          <w:rFonts w:ascii="Arial" w:hAnsi="Arial"/>
          <w:noProof w:val="0"/>
          <w:rtl/>
        </w:rPr>
        <w:tab/>
        <w:t xml:space="preserve">בהתאם להסכמות, התבצעה התמחרות בין הצדדים ביום 16.4.24, בסיומה זכתה המבקשת לפי ערך של 1,590,000 ₪. </w:t>
      </w:r>
    </w:p>
    <w:p w:rsidR="00AC4D4B" w:rsidRDefault="00AC4D4B" w:rsidP="00AC4D4B">
      <w:pPr>
        <w:spacing w:after="120" w:line="360" w:lineRule="auto"/>
        <w:ind w:left="720" w:hanging="720"/>
        <w:jc w:val="both"/>
        <w:rPr>
          <w:rFonts w:ascii="Arial" w:hAnsi="Arial"/>
          <w:noProof w:val="0"/>
          <w:rtl/>
        </w:rPr>
      </w:pPr>
      <w:r>
        <w:rPr>
          <w:rFonts w:ascii="Arial" w:hAnsi="Arial"/>
          <w:noProof w:val="0"/>
          <w:rtl/>
        </w:rPr>
        <w:tab/>
        <w:t xml:space="preserve">יוער כי שמאי מקרקעין העריך את שווי הדירה, בחוות דעת מיום 21.1.2024, בסך 1,390,000 ₪. </w:t>
      </w:r>
    </w:p>
    <w:p w:rsidR="00AC4D4B" w:rsidRDefault="00AC4D4B" w:rsidP="00AC4D4B">
      <w:pPr>
        <w:spacing w:after="120" w:line="360" w:lineRule="auto"/>
        <w:ind w:left="720" w:hanging="720"/>
        <w:jc w:val="both"/>
        <w:rPr>
          <w:rFonts w:ascii="Arial" w:hAnsi="Arial"/>
          <w:noProof w:val="0"/>
          <w:rtl/>
        </w:rPr>
      </w:pPr>
      <w:r>
        <w:rPr>
          <w:rFonts w:ascii="Arial" w:hAnsi="Arial"/>
          <w:noProof w:val="0"/>
          <w:rtl/>
        </w:rPr>
        <w:t>8.</w:t>
      </w:r>
      <w:r>
        <w:rPr>
          <w:rFonts w:ascii="Arial" w:hAnsi="Arial"/>
          <w:noProof w:val="0"/>
          <w:rtl/>
        </w:rPr>
        <w:tab/>
        <w:t xml:space="preserve">ביום 19.6.24 פנתה המבקשת בבקשה בתיק קמא, להאריך בעשרה ימים לפחות את המועד בו עליה לשלם למשיב את הסכום המגיע לו בגין הדירה, לאחר שזכתה בהתמחרות. המועד האחרון לביצוע התשלום בהתאם להסכמות ובהתאם לפרוטוקול ההתמחרות היה 16.6.24. </w:t>
      </w:r>
    </w:p>
    <w:p w:rsidR="00AC4D4B" w:rsidRDefault="00AC4D4B" w:rsidP="00AC4D4B">
      <w:pPr>
        <w:spacing w:after="120" w:line="360" w:lineRule="auto"/>
        <w:ind w:left="720" w:hanging="720"/>
        <w:jc w:val="both"/>
        <w:rPr>
          <w:rFonts w:ascii="Arial" w:hAnsi="Arial"/>
          <w:noProof w:val="0"/>
          <w:rtl/>
        </w:rPr>
      </w:pPr>
      <w:r>
        <w:rPr>
          <w:rFonts w:ascii="Arial" w:hAnsi="Arial"/>
          <w:noProof w:val="0"/>
          <w:rtl/>
        </w:rPr>
        <w:tab/>
        <w:t xml:space="preserve">בבקשתה, טענה המבקשת כי מלכתחילה הרגישה שפרק הזמן לתשלום עליו הסכימו הצדדים (60 יום ממועד ההתמחרות) אינו מספיק אבל "קיוותה שזה יסתדר". המבקשת טענה עוד, כי המתינה שבועיים לאישור מוועדת החריגים של משרד השיכון ולאחר מכן היה שבוע של חגים. לאחר החגים הנציגה שטיפלה בה בבנק יצאה לחופש והמבקשת נאלצה לעבור סניף. לאחר שבועיים של המתנה, הבנק ביקש שתסגור את ההלוואה המשותפת בחשבון והיא עשתה זאת מיד. כעת לטענתה, שוב "הבנק בוחן את </w:t>
      </w:r>
      <w:proofErr w:type="spellStart"/>
      <w:r>
        <w:rPr>
          <w:rFonts w:ascii="Arial" w:hAnsi="Arial"/>
          <w:noProof w:val="0"/>
          <w:rtl/>
        </w:rPr>
        <w:t>הכל</w:t>
      </w:r>
      <w:proofErr w:type="spellEnd"/>
      <w:r>
        <w:rPr>
          <w:rFonts w:ascii="Arial" w:hAnsi="Arial"/>
          <w:noProof w:val="0"/>
          <w:rtl/>
        </w:rPr>
        <w:t xml:space="preserve"> וזה לוקח הרבה זמן". המבקשת הסבירה כי היא עדיין גרה אצל </w:t>
      </w:r>
      <w:proofErr w:type="spellStart"/>
      <w:r>
        <w:rPr>
          <w:rFonts w:ascii="Arial" w:hAnsi="Arial"/>
          <w:noProof w:val="0"/>
          <w:rtl/>
        </w:rPr>
        <w:t>אמא</w:t>
      </w:r>
      <w:proofErr w:type="spellEnd"/>
      <w:r>
        <w:rPr>
          <w:rFonts w:ascii="Arial" w:hAnsi="Arial"/>
          <w:noProof w:val="0"/>
          <w:rtl/>
        </w:rPr>
        <w:t xml:space="preserve"> שלה ולכן למשיב, אשר ממשיך לגור בדירת הצדדים עם הקטינים, אין סיבה להיות לחוץ.</w:t>
      </w:r>
    </w:p>
    <w:p w:rsidR="00AC4D4B" w:rsidRDefault="00AC4D4B" w:rsidP="00AC4D4B">
      <w:pPr>
        <w:spacing w:after="120" w:line="360" w:lineRule="auto"/>
        <w:ind w:left="720" w:hanging="720"/>
        <w:jc w:val="both"/>
        <w:rPr>
          <w:rFonts w:ascii="Arial" w:hAnsi="Arial"/>
          <w:noProof w:val="0"/>
          <w:rtl/>
        </w:rPr>
      </w:pPr>
      <w:r>
        <w:rPr>
          <w:rFonts w:ascii="Arial" w:hAnsi="Arial"/>
          <w:noProof w:val="0"/>
          <w:rtl/>
        </w:rPr>
        <w:t>9.</w:t>
      </w:r>
      <w:r>
        <w:rPr>
          <w:rFonts w:ascii="Arial" w:hAnsi="Arial"/>
          <w:noProof w:val="0"/>
          <w:rtl/>
        </w:rPr>
        <w:tab/>
        <w:t xml:space="preserve">ביום 20.6.24 פנתה המבקשת שוב לבית משפט קמא, וצירפה אישור עקרוני לבקשת הלוואה לדיור מיום 19.6.24  שהינו בתוקף עד ליום 13.7.24. מדובר בהלוואה בסך כולל של 270,000 ש"ח. במסמך מוסבר כי הבנק מבקש לקבל הערכה משמאי מקרקעין שאושר על ידי הבנק לגבי שווי הנכס ומצבו. עוד נכתב במסמך, כי הבנק </w:t>
      </w:r>
      <w:r>
        <w:rPr>
          <w:rFonts w:ascii="Arial" w:hAnsi="Arial"/>
          <w:noProof w:val="0"/>
          <w:rtl/>
        </w:rPr>
        <w:lastRenderedPageBreak/>
        <w:t>יוכל לקבל שמאות המופנית לבנק אחר אם השמאי נכלל ברשימת השמאים וטרם חלפו 90 יום ממועד ביצוע השמאות. המבקשת הסבירה כי לצורך קבלת המשכנתא יש לקבוע מועד לשמאות.</w:t>
      </w:r>
    </w:p>
    <w:p w:rsidR="00AC4D4B" w:rsidRDefault="00AC4D4B" w:rsidP="00AC4D4B">
      <w:pPr>
        <w:spacing w:after="120" w:line="360" w:lineRule="auto"/>
        <w:ind w:left="720" w:hanging="720"/>
        <w:jc w:val="both"/>
        <w:rPr>
          <w:rFonts w:ascii="Arial" w:hAnsi="Arial"/>
          <w:noProof w:val="0"/>
          <w:rtl/>
        </w:rPr>
      </w:pPr>
      <w:r>
        <w:rPr>
          <w:rFonts w:ascii="Arial" w:hAnsi="Arial"/>
          <w:noProof w:val="0"/>
          <w:rtl/>
        </w:rPr>
        <w:t>10.</w:t>
      </w:r>
      <w:r>
        <w:rPr>
          <w:rFonts w:ascii="Arial" w:hAnsi="Arial"/>
          <w:noProof w:val="0"/>
          <w:rtl/>
        </w:rPr>
        <w:tab/>
        <w:t>ביום 23.6.24 הוגשה תגובת המשיב לבקשה קמא. המשיב המתנגד להארכת המועד וביקש לפעול בהתאם לסעיף 2</w:t>
      </w:r>
      <w:r>
        <w:rPr>
          <w:rFonts w:ascii="Arial" w:hAnsi="Arial"/>
          <w:noProof w:val="0"/>
          <w:rtl/>
        </w:rPr>
        <w:tab/>
        <w:t>לפרוטוקול ההתמחרות, ולרכוש את חלקה של המבקשת בדירה בהתאם לחוות דעת השמאי מטעם בית משפט קמא. המשיב הדגיש, כי המבקשת לא פנתה בבקשה למתן אורכה מאז נחתמו ההסכמות ביום 5.3.24 ועד שנודע לה כי הפרה את התחייבויותיה.</w:t>
      </w:r>
    </w:p>
    <w:p w:rsidR="00AC4D4B" w:rsidRDefault="00AC4D4B" w:rsidP="00AC4D4B">
      <w:pPr>
        <w:spacing w:after="120" w:line="360" w:lineRule="auto"/>
        <w:ind w:left="720" w:hanging="720"/>
        <w:jc w:val="both"/>
        <w:rPr>
          <w:rFonts w:ascii="Arial" w:hAnsi="Arial"/>
          <w:noProof w:val="0"/>
          <w:rtl/>
        </w:rPr>
      </w:pPr>
      <w:r>
        <w:rPr>
          <w:rFonts w:ascii="Arial" w:hAnsi="Arial"/>
          <w:noProof w:val="0"/>
          <w:rtl/>
        </w:rPr>
        <w:t>11.</w:t>
      </w:r>
      <w:r>
        <w:rPr>
          <w:rFonts w:ascii="Arial" w:hAnsi="Arial"/>
          <w:noProof w:val="0"/>
          <w:rtl/>
        </w:rPr>
        <w:tab/>
        <w:t xml:space="preserve">ביום 23.6.24 פנתה המבקשת שוב לבית משפט קמא, והסבירה כי הייצוג של באת כוחה הסתיים לאחר הגירושין. המבקשת הסבירה כי אם הייתה מודעת לכך שהליך נטילת המשכנתא יהיה כפי שתיארה, הייתה עומדת על כך שהמועד לתשלום יהיה תוך 90 יום ולא תוך 60 יום כפי שנקבע בהסכם. באשר לשמאות, צירפה המבקשת התכתבויות בינה לבין המשיב בהן ביקשה שיתוף פעולה </w:t>
      </w:r>
      <w:proofErr w:type="spellStart"/>
      <w:r>
        <w:rPr>
          <w:rFonts w:ascii="Arial" w:hAnsi="Arial"/>
          <w:noProof w:val="0"/>
          <w:rtl/>
        </w:rPr>
        <w:t>מצידו</w:t>
      </w:r>
      <w:proofErr w:type="spellEnd"/>
      <w:r>
        <w:rPr>
          <w:rFonts w:ascii="Arial" w:hAnsi="Arial"/>
          <w:noProof w:val="0"/>
          <w:rtl/>
        </w:rPr>
        <w:t xml:space="preserve"> בביקור השמאי ונענתה כי לא יהיה שיתוף פעולה שכן בהתאם להסכם המשיב עומד על זכותו לרכוש את הדירה.</w:t>
      </w:r>
    </w:p>
    <w:p w:rsidR="00AC4D4B" w:rsidRDefault="00AC4D4B" w:rsidP="00AC4D4B">
      <w:pPr>
        <w:spacing w:after="120" w:line="360" w:lineRule="auto"/>
        <w:ind w:left="720" w:hanging="720"/>
        <w:jc w:val="both"/>
        <w:rPr>
          <w:rFonts w:ascii="Arial" w:hAnsi="Arial"/>
          <w:b/>
          <w:bCs/>
          <w:noProof w:val="0"/>
          <w:rtl/>
        </w:rPr>
      </w:pPr>
      <w:r>
        <w:rPr>
          <w:rFonts w:ascii="Arial" w:hAnsi="Arial"/>
          <w:noProof w:val="0"/>
          <w:rtl/>
        </w:rPr>
        <w:t>12.</w:t>
      </w:r>
      <w:r>
        <w:rPr>
          <w:rFonts w:ascii="Arial" w:hAnsi="Arial"/>
          <w:noProof w:val="0"/>
          <w:rtl/>
        </w:rPr>
        <w:tab/>
      </w:r>
      <w:r>
        <w:rPr>
          <w:rFonts w:ascii="Arial" w:hAnsi="Arial"/>
          <w:noProof w:val="0"/>
          <w:u w:val="single"/>
          <w:rtl/>
        </w:rPr>
        <w:t>ביום 26.6.24 ניתנה ההחלטה קמא. להלן חלקה האופרטיבי:</w:t>
      </w:r>
    </w:p>
    <w:p w:rsidR="00AC4D4B" w:rsidRDefault="00AC4D4B" w:rsidP="00D86772">
      <w:pPr>
        <w:spacing w:after="120" w:line="360" w:lineRule="auto"/>
        <w:ind w:left="1417" w:right="1134" w:hanging="720"/>
        <w:jc w:val="both"/>
        <w:rPr>
          <w:rFonts w:ascii="Arial" w:hAnsi="Arial"/>
          <w:b/>
          <w:bCs/>
          <w:noProof w:val="0"/>
          <w:rtl/>
        </w:rPr>
      </w:pPr>
      <w:r>
        <w:rPr>
          <w:rFonts w:ascii="Arial" w:hAnsi="Arial"/>
          <w:noProof w:val="0"/>
          <w:rtl/>
        </w:rPr>
        <w:t>"</w:t>
      </w:r>
      <w:r>
        <w:rPr>
          <w:rFonts w:ascii="Arial" w:hAnsi="Arial"/>
          <w:b/>
          <w:bCs/>
          <w:noProof w:val="0"/>
          <w:rtl/>
        </w:rPr>
        <w:t>6.</w:t>
      </w:r>
      <w:r>
        <w:rPr>
          <w:rFonts w:ascii="Arial" w:hAnsi="Arial"/>
          <w:noProof w:val="0"/>
          <w:rtl/>
        </w:rPr>
        <w:tab/>
      </w:r>
      <w:r>
        <w:rPr>
          <w:rFonts w:ascii="Arial" w:hAnsi="Arial"/>
          <w:b/>
          <w:bCs/>
          <w:noProof w:val="0"/>
          <w:rtl/>
        </w:rPr>
        <w:t xml:space="preserve">לאחר ששקלתי את טענות הצדדים החלטתי לדחות את בקשת המבקשת להאריך את המועד לביצוע התשלום למשיב ולקבוע כי בהתאם לפסק הדין ולפרוטוקול ההתמחרות מיום 16.4.24, המשיב רשאי לרכוש את חלקה של המבקשת בדירת הצדדים ברחוב </w:t>
      </w:r>
      <w:r w:rsidR="00D86772">
        <w:rPr>
          <w:rFonts w:ascii="Arial" w:hAnsi="Arial" w:hint="cs"/>
          <w:b/>
          <w:bCs/>
          <w:noProof w:val="0"/>
          <w:rtl/>
        </w:rPr>
        <w:t>...</w:t>
      </w:r>
      <w:r w:rsidR="00D86772">
        <w:rPr>
          <w:rFonts w:ascii="Arial" w:hAnsi="Arial"/>
          <w:b/>
          <w:bCs/>
          <w:noProof w:val="0"/>
          <w:rtl/>
        </w:rPr>
        <w:t xml:space="preserve"> </w:t>
      </w:r>
      <w:r w:rsidR="00D86772">
        <w:rPr>
          <w:rFonts w:ascii="Arial" w:hAnsi="Arial"/>
          <w:b/>
          <w:bCs/>
          <w:noProof w:val="0"/>
          <w:rtl/>
        </w:rPr>
        <w:tab/>
        <w:t>ב</w:t>
      </w:r>
      <w:r w:rsidR="00D86772">
        <w:rPr>
          <w:rFonts w:ascii="Arial" w:hAnsi="Arial" w:hint="cs"/>
          <w:b/>
          <w:bCs/>
          <w:noProof w:val="0"/>
          <w:rtl/>
        </w:rPr>
        <w:t>...</w:t>
      </w:r>
      <w:r>
        <w:rPr>
          <w:rFonts w:ascii="Arial" w:hAnsi="Arial"/>
          <w:b/>
          <w:bCs/>
          <w:noProof w:val="0"/>
          <w:rtl/>
        </w:rPr>
        <w:t xml:space="preserve"> בהתאם למחיר הנקוב בחוות דעת השמאי מטעם בית משפט שהוא 1,390,000 ש"ח. להלן יפורטו נימוקי ההחלטה.</w:t>
      </w:r>
    </w:p>
    <w:p w:rsidR="00AC4D4B" w:rsidRDefault="00D86772" w:rsidP="00AC4D4B">
      <w:pPr>
        <w:spacing w:after="120" w:line="360" w:lineRule="auto"/>
        <w:ind w:left="1417" w:right="1134" w:hanging="720"/>
        <w:jc w:val="both"/>
        <w:rPr>
          <w:rFonts w:ascii="Arial" w:hAnsi="Arial"/>
          <w:b/>
          <w:bCs/>
          <w:noProof w:val="0"/>
          <w:rtl/>
        </w:rPr>
      </w:pPr>
      <w:r>
        <w:rPr>
          <w:rFonts w:ascii="Arial" w:hAnsi="Arial"/>
          <w:b/>
          <w:bCs/>
          <w:noProof w:val="0"/>
          <w:rtl/>
        </w:rPr>
        <w:t>7.</w:t>
      </w:r>
      <w:r>
        <w:rPr>
          <w:rFonts w:ascii="Arial" w:hAnsi="Arial"/>
          <w:b/>
          <w:bCs/>
          <w:noProof w:val="0"/>
          <w:rtl/>
        </w:rPr>
        <w:tab/>
      </w:r>
      <w:r w:rsidR="00AC4D4B">
        <w:rPr>
          <w:rFonts w:ascii="Arial" w:hAnsi="Arial"/>
          <w:b/>
          <w:bCs/>
          <w:noProof w:val="0"/>
          <w:rtl/>
        </w:rPr>
        <w:t>ראשית , ההסכם שקיבל תוקף של פסק דין ביום 5.3.24 הוא הסכם שנערך  במהלך דיון בבית המשפט כאשר כל אחד מהצדדים מיוצג על ידי עו"ד מטעמו וכאשר נוסח ההסכמות נמסר לעיון הצדדים טרם אישורו. במצב דברים שכזה אין מקום לקבל, ללא הסכמה של הצד שכנגד, את הטענה של המבקשת לפיה לו ידעה את מה שיקרה בהמשך , לא הייתה מסכימה לפרק זמן של 60 יום בלבד לתשלום ממועד סיום ההתמחרות.</w:t>
      </w:r>
    </w:p>
    <w:p w:rsidR="00AC4D4B" w:rsidRDefault="00D86772" w:rsidP="00AC4D4B">
      <w:pPr>
        <w:spacing w:after="120" w:line="360" w:lineRule="auto"/>
        <w:ind w:left="1417" w:right="1134" w:hanging="720"/>
        <w:jc w:val="both"/>
        <w:rPr>
          <w:rFonts w:ascii="Arial" w:hAnsi="Arial"/>
          <w:b/>
          <w:bCs/>
          <w:noProof w:val="0"/>
          <w:rtl/>
        </w:rPr>
      </w:pPr>
      <w:r>
        <w:rPr>
          <w:rFonts w:ascii="Arial" w:hAnsi="Arial"/>
          <w:b/>
          <w:bCs/>
          <w:noProof w:val="0"/>
          <w:rtl/>
        </w:rPr>
        <w:t>8.</w:t>
      </w:r>
      <w:r>
        <w:rPr>
          <w:rFonts w:ascii="Arial" w:hAnsi="Arial"/>
          <w:b/>
          <w:bCs/>
          <w:noProof w:val="0"/>
          <w:rtl/>
        </w:rPr>
        <w:tab/>
      </w:r>
      <w:r w:rsidR="00AC4D4B">
        <w:rPr>
          <w:rFonts w:ascii="Arial" w:hAnsi="Arial"/>
          <w:b/>
          <w:bCs/>
          <w:noProof w:val="0"/>
          <w:rtl/>
        </w:rPr>
        <w:t>שנית, הצדדים חזרו על הוראת פסק הדין בכל הנוגע לפרק הזמן המרבי לביצוע התשלום לאחר ההתמחרות גם במסגרת פרוטוקול ההתמחרות , כאשר גם בשלב הזה המבקשת מיוצגת על ידי ב"כ.</w:t>
      </w:r>
    </w:p>
    <w:p w:rsidR="00AC4D4B" w:rsidRDefault="00AC4D4B" w:rsidP="00AC4D4B">
      <w:pPr>
        <w:spacing w:after="120" w:line="360" w:lineRule="auto"/>
        <w:ind w:left="1417" w:right="1134" w:hanging="720"/>
        <w:jc w:val="both"/>
        <w:rPr>
          <w:rFonts w:ascii="Arial" w:hAnsi="Arial"/>
          <w:b/>
          <w:bCs/>
          <w:noProof w:val="0"/>
          <w:rtl/>
        </w:rPr>
      </w:pPr>
      <w:r>
        <w:rPr>
          <w:rFonts w:ascii="Arial" w:hAnsi="Arial"/>
          <w:b/>
          <w:bCs/>
          <w:noProof w:val="0"/>
          <w:rtl/>
        </w:rPr>
        <w:t>9.</w:t>
      </w:r>
      <w:r>
        <w:rPr>
          <w:rFonts w:ascii="Arial" w:hAnsi="Arial"/>
          <w:b/>
          <w:bCs/>
          <w:noProof w:val="0"/>
          <w:rtl/>
        </w:rPr>
        <w:tab/>
        <w:t>שלישית, עולה מהחומר שלפני כי הפניה הראשונה של המבקשת למשיב כדי לקבל את הסכמתו להארכת המועד נעשתה רק לאחר שהמועד האחרון הקבוע בהסכם חלף. במצב דברים שכזה למשיב יש אינטרס הסתמכות חזק על סופיות ההסכם ועל מימוש זכותו לרכוש את חלקה של המבקשת בדירת הצדדים במחיר שקבע השמאי מטעם בימ"ש שהינו נמוך ב200,000 ש"ח מהמחיר שנקבע בהתמחרות.</w:t>
      </w:r>
    </w:p>
    <w:p w:rsidR="00AC4D4B" w:rsidRDefault="00AC4D4B" w:rsidP="00AC4D4B">
      <w:pPr>
        <w:spacing w:after="120" w:line="360" w:lineRule="auto"/>
        <w:ind w:left="1417" w:right="1134" w:hanging="720"/>
        <w:jc w:val="both"/>
        <w:rPr>
          <w:rFonts w:ascii="Arial" w:hAnsi="Arial"/>
          <w:b/>
          <w:bCs/>
          <w:noProof w:val="0"/>
          <w:rtl/>
        </w:rPr>
      </w:pPr>
    </w:p>
    <w:p w:rsidR="00AC4D4B" w:rsidRDefault="00AC4D4B" w:rsidP="00AC4D4B">
      <w:pPr>
        <w:spacing w:after="120" w:line="360" w:lineRule="auto"/>
        <w:ind w:left="1417" w:right="1134" w:hanging="720"/>
        <w:jc w:val="both"/>
        <w:rPr>
          <w:rFonts w:ascii="Arial" w:hAnsi="Arial"/>
          <w:b/>
          <w:bCs/>
          <w:noProof w:val="0"/>
          <w:rtl/>
        </w:rPr>
      </w:pPr>
      <w:r>
        <w:rPr>
          <w:rFonts w:ascii="Arial" w:hAnsi="Arial"/>
          <w:b/>
          <w:bCs/>
          <w:noProof w:val="0"/>
          <w:rtl/>
        </w:rPr>
        <w:lastRenderedPageBreak/>
        <w:t xml:space="preserve">10. </w:t>
      </w:r>
      <w:r>
        <w:rPr>
          <w:rFonts w:ascii="Arial" w:hAnsi="Arial"/>
          <w:b/>
          <w:bCs/>
          <w:noProof w:val="0"/>
          <w:rtl/>
        </w:rPr>
        <w:tab/>
        <w:t>אשר על כן אני מורה כאמור בסעיף 6 של ההחלטה. חרף תוצאת ההחלטה ובהתחשב בעובדה כי מדובר בתוצאה לא פשוטה מבחינת המבקשת וההחלטה כוללת סעד שחסך למשיב הגשת בקשה, החלטתי להימנע מחיוב המבקשת בהוצאות במסגרת החלטה זו".</w:t>
      </w:r>
    </w:p>
    <w:p w:rsidR="00AC4D4B" w:rsidRDefault="00AC4D4B" w:rsidP="00AC4D4B">
      <w:pPr>
        <w:spacing w:after="120" w:line="360" w:lineRule="auto"/>
        <w:ind w:left="720" w:hanging="720"/>
        <w:jc w:val="both"/>
        <w:rPr>
          <w:rFonts w:asciiTheme="minorHAnsi" w:hAnsiTheme="minorHAnsi"/>
          <w:noProof w:val="0"/>
          <w:rtl/>
        </w:rPr>
      </w:pPr>
      <w:r>
        <w:rPr>
          <w:rFonts w:ascii="Arial" w:hAnsi="Arial"/>
          <w:noProof w:val="0"/>
          <w:rtl/>
        </w:rPr>
        <w:tab/>
        <w:t>בגין החלטה זו הוגשה בקשת רשות הערעור דנן.</w:t>
      </w:r>
      <w:r>
        <w:rPr>
          <w:rFonts w:ascii="Arial" w:hAnsi="Arial"/>
          <w:noProof w:val="0"/>
          <w:rtl/>
        </w:rPr>
        <w:tab/>
      </w:r>
    </w:p>
    <w:p w:rsidR="00AC4D4B" w:rsidRDefault="00AC4D4B" w:rsidP="00AC4D4B">
      <w:pPr>
        <w:spacing w:after="120" w:line="360" w:lineRule="auto"/>
        <w:ind w:left="720" w:hanging="720"/>
        <w:jc w:val="both"/>
        <w:rPr>
          <w:rFonts w:asciiTheme="minorHAnsi" w:hAnsiTheme="minorHAnsi"/>
          <w:noProof w:val="0"/>
          <w:rtl/>
        </w:rPr>
      </w:pPr>
    </w:p>
    <w:p w:rsidR="00AC4D4B" w:rsidRDefault="00AC4D4B" w:rsidP="00AC4D4B">
      <w:pPr>
        <w:spacing w:after="120" w:line="360" w:lineRule="auto"/>
        <w:ind w:left="720" w:hanging="720"/>
        <w:jc w:val="both"/>
        <w:rPr>
          <w:rFonts w:ascii="Arial" w:hAnsi="Arial"/>
          <w:noProof w:val="0"/>
        </w:rPr>
      </w:pPr>
      <w:r>
        <w:rPr>
          <w:rFonts w:ascii="Arial" w:hAnsi="Arial"/>
          <w:b/>
          <w:bCs/>
          <w:noProof w:val="0"/>
          <w:u w:val="single"/>
          <w:rtl/>
        </w:rPr>
        <w:t>טענות המבקשת בבקשת רשות הערעור</w:t>
      </w:r>
    </w:p>
    <w:p w:rsidR="00AC4D4B" w:rsidRDefault="00AC4D4B" w:rsidP="00AC4D4B">
      <w:pPr>
        <w:spacing w:after="120" w:line="360" w:lineRule="auto"/>
        <w:ind w:left="720" w:hanging="720"/>
        <w:jc w:val="both"/>
        <w:rPr>
          <w:rFonts w:ascii="Arial" w:hAnsi="Arial"/>
          <w:noProof w:val="0"/>
          <w:rtl/>
        </w:rPr>
      </w:pPr>
      <w:r>
        <w:rPr>
          <w:rFonts w:ascii="Arial" w:hAnsi="Arial"/>
          <w:noProof w:val="0"/>
          <w:rtl/>
        </w:rPr>
        <w:t>13.</w:t>
      </w:r>
      <w:r>
        <w:rPr>
          <w:rFonts w:ascii="Arial" w:hAnsi="Arial"/>
          <w:noProof w:val="0"/>
          <w:rtl/>
        </w:rPr>
        <w:tab/>
      </w:r>
      <w:r>
        <w:rPr>
          <w:rFonts w:ascii="Arial" w:hAnsi="Arial"/>
          <w:noProof w:val="0"/>
          <w:u w:val="single"/>
          <w:rtl/>
        </w:rPr>
        <w:t>להלן תמצית טענות המבקשת</w:t>
      </w:r>
      <w:r>
        <w:rPr>
          <w:rFonts w:ascii="Arial" w:hAnsi="Arial"/>
          <w:noProof w:val="0"/>
          <w:rtl/>
        </w:rPr>
        <w:t>:</w:t>
      </w:r>
    </w:p>
    <w:p w:rsidR="00AC4D4B" w:rsidRDefault="00AC4D4B" w:rsidP="00AC4D4B">
      <w:pPr>
        <w:spacing w:after="120" w:line="360" w:lineRule="auto"/>
        <w:ind w:left="1440" w:hanging="720"/>
        <w:jc w:val="both"/>
        <w:rPr>
          <w:rFonts w:ascii="Arial" w:hAnsi="Arial"/>
          <w:noProof w:val="0"/>
          <w:rtl/>
        </w:rPr>
      </w:pPr>
      <w:r>
        <w:rPr>
          <w:rFonts w:ascii="Arial" w:hAnsi="Arial"/>
          <w:noProof w:val="0"/>
          <w:rtl/>
        </w:rPr>
        <w:t>א.</w:t>
      </w:r>
      <w:r>
        <w:rPr>
          <w:rFonts w:ascii="Arial" w:hAnsi="Arial"/>
          <w:noProof w:val="0"/>
          <w:rtl/>
        </w:rPr>
        <w:tab/>
        <w:t xml:space="preserve">דין בקשת רשות הערעור להתקבל. ארכה בת עשרה ימים לא הייתה גורמת כל נזק למשיב, לאחר שזכתה בהתמחרות. </w:t>
      </w:r>
    </w:p>
    <w:p w:rsidR="00AC4D4B" w:rsidRDefault="00AC4D4B" w:rsidP="00AC4D4B">
      <w:pPr>
        <w:spacing w:after="120" w:line="360" w:lineRule="auto"/>
        <w:ind w:left="1440" w:hanging="720"/>
        <w:jc w:val="both"/>
        <w:rPr>
          <w:rFonts w:ascii="Arial" w:hAnsi="Arial"/>
          <w:noProof w:val="0"/>
          <w:rtl/>
        </w:rPr>
      </w:pPr>
      <w:r>
        <w:rPr>
          <w:rFonts w:ascii="Arial" w:hAnsi="Arial"/>
          <w:noProof w:val="0"/>
          <w:rtl/>
        </w:rPr>
        <w:t>ב.</w:t>
      </w:r>
      <w:r>
        <w:rPr>
          <w:rFonts w:ascii="Arial" w:hAnsi="Arial"/>
          <w:noProof w:val="0"/>
          <w:rtl/>
        </w:rPr>
        <w:tab/>
        <w:t>עת הצדדים חתמו על ההתמחרות, סוכם כי חלקו של המשיב בהלוואה יקוזז מתוך כספי המשכנתא. אולם הבנק למשכנתאות סירב להעניק למבקשת משכנתא אלא לאחר סילוק ההלוואה בסך 33,527 ₪. המשיב נהג בחוסר תום לב עת הפר את התחייבותו לשלם מחצית מסך ההלוואה הנ"ל, והמבקשת נאלצה לסלק את כל ההלוואה בכוחות עצמה. המשיב אף עיכב את חתימתו על פירעון ההלוואה ביומיים.</w:t>
      </w:r>
    </w:p>
    <w:p w:rsidR="00AC4D4B" w:rsidRDefault="00AC4D4B" w:rsidP="00AC4D4B">
      <w:pPr>
        <w:spacing w:after="120" w:line="360" w:lineRule="auto"/>
        <w:ind w:left="1440" w:hanging="720"/>
        <w:jc w:val="both"/>
        <w:rPr>
          <w:rFonts w:ascii="Arial" w:hAnsi="Arial"/>
          <w:noProof w:val="0"/>
          <w:rtl/>
        </w:rPr>
      </w:pPr>
      <w:r>
        <w:rPr>
          <w:rFonts w:ascii="Arial" w:hAnsi="Arial"/>
          <w:noProof w:val="0"/>
          <w:rtl/>
        </w:rPr>
        <w:t>ג.</w:t>
      </w:r>
      <w:r>
        <w:rPr>
          <w:rFonts w:ascii="Arial" w:hAnsi="Arial"/>
          <w:noProof w:val="0"/>
          <w:rtl/>
        </w:rPr>
        <w:tab/>
        <w:t>אין להתעלם מהתנהגותו הפסולה והבלתי הולמת של המשיב, שנועדה להכשיל את המבקשת ולמנוע ממנה קבלת ואישור המשכנתא. אלמלא היה נוהג כך, הייתה המבקשת מקבלת את המשכנתא במועד ולא נזקקת לארכה.</w:t>
      </w:r>
    </w:p>
    <w:p w:rsidR="00AC4D4B" w:rsidRDefault="00AC4D4B" w:rsidP="00AC4D4B">
      <w:pPr>
        <w:spacing w:after="120" w:line="360" w:lineRule="auto"/>
        <w:ind w:left="1440" w:hanging="720"/>
        <w:jc w:val="both"/>
        <w:rPr>
          <w:rFonts w:ascii="Arial" w:hAnsi="Arial"/>
          <w:noProof w:val="0"/>
          <w:rtl/>
        </w:rPr>
      </w:pPr>
      <w:r>
        <w:rPr>
          <w:rFonts w:ascii="Arial" w:hAnsi="Arial"/>
          <w:noProof w:val="0"/>
          <w:rtl/>
        </w:rPr>
        <w:t>ד.</w:t>
      </w:r>
      <w:r>
        <w:rPr>
          <w:rFonts w:ascii="Arial" w:hAnsi="Arial"/>
          <w:noProof w:val="0"/>
          <w:rtl/>
        </w:rPr>
        <w:tab/>
        <w:t xml:space="preserve">עוד טענה, כי לאחר ההתמחרות ביום 16.4.24, </w:t>
      </w:r>
      <w:proofErr w:type="spellStart"/>
      <w:r>
        <w:rPr>
          <w:rFonts w:ascii="Arial" w:hAnsi="Arial"/>
          <w:noProof w:val="0"/>
          <w:rtl/>
        </w:rPr>
        <w:t>היתה</w:t>
      </w:r>
      <w:proofErr w:type="spellEnd"/>
      <w:r>
        <w:rPr>
          <w:rFonts w:ascii="Arial" w:hAnsi="Arial"/>
          <w:noProof w:val="0"/>
          <w:rtl/>
        </w:rPr>
        <w:t xml:space="preserve"> אמורה המבקשת לקבל אישור חריג ממשרד השיכון, בגין העברת זכויות בדירה שנרכשה במסגרת "מחיר למשתכן" בטרם חלפו 5 שנים ממועד הרכישה. </w:t>
      </w:r>
    </w:p>
    <w:p w:rsidR="00AC4D4B" w:rsidRDefault="00AC4D4B" w:rsidP="00AC4D4B">
      <w:pPr>
        <w:spacing w:after="120" w:line="360" w:lineRule="auto"/>
        <w:ind w:left="1440" w:hanging="720"/>
        <w:jc w:val="both"/>
        <w:rPr>
          <w:rFonts w:ascii="Arial" w:hAnsi="Arial"/>
          <w:noProof w:val="0"/>
          <w:rtl/>
        </w:rPr>
      </w:pPr>
      <w:r>
        <w:rPr>
          <w:rFonts w:ascii="Arial" w:hAnsi="Arial"/>
          <w:noProof w:val="0"/>
          <w:rtl/>
        </w:rPr>
        <w:t>ה.</w:t>
      </w:r>
      <w:r>
        <w:rPr>
          <w:rFonts w:ascii="Arial" w:hAnsi="Arial"/>
          <w:noProof w:val="0"/>
          <w:rtl/>
        </w:rPr>
        <w:tab/>
        <w:t xml:space="preserve">הארכה אף התבקשה לצורך ביקור שמאי מטעם הבנק בדירה. מדובר בדרישת הבנק שלא </w:t>
      </w:r>
      <w:proofErr w:type="spellStart"/>
      <w:r>
        <w:rPr>
          <w:rFonts w:ascii="Arial" w:hAnsi="Arial"/>
          <w:noProof w:val="0"/>
          <w:rtl/>
        </w:rPr>
        <w:t>היתה</w:t>
      </w:r>
      <w:proofErr w:type="spellEnd"/>
      <w:r>
        <w:rPr>
          <w:rFonts w:ascii="Arial" w:hAnsi="Arial"/>
          <w:noProof w:val="0"/>
          <w:rtl/>
        </w:rPr>
        <w:t xml:space="preserve"> ידועה מראש לצדדים. המשיב לא שיתף פעולה עם ביקור השמאי בדירה וגרם לעיכוב אף בעניין זה, אולם בית משפט קמא לא נתן לכך כל משקל.</w:t>
      </w:r>
    </w:p>
    <w:p w:rsidR="00AC4D4B" w:rsidRDefault="00AC4D4B" w:rsidP="00AC4D4B">
      <w:pPr>
        <w:spacing w:after="120" w:line="360" w:lineRule="auto"/>
        <w:ind w:left="1440" w:hanging="720"/>
        <w:jc w:val="both"/>
        <w:rPr>
          <w:rFonts w:ascii="Arial" w:hAnsi="Arial"/>
          <w:noProof w:val="0"/>
          <w:rtl/>
        </w:rPr>
      </w:pPr>
      <w:r>
        <w:rPr>
          <w:rFonts w:ascii="Arial" w:hAnsi="Arial"/>
          <w:noProof w:val="0"/>
          <w:rtl/>
        </w:rPr>
        <w:t>ו.</w:t>
      </w:r>
      <w:r>
        <w:rPr>
          <w:rFonts w:ascii="Arial" w:hAnsi="Arial"/>
          <w:noProof w:val="0"/>
          <w:rtl/>
        </w:rPr>
        <w:tab/>
        <w:t>טעה בית משפט קמא עת קיבל את התנגדות המשיב להארכת המועד, כאשר לטענת המשיב המבקשת הפרה את ההתחייבות אך המשיב לא ציין כי התחייבותה התעכבה בשל הכשלתו המכוונת, כמתואר לעיל.</w:t>
      </w:r>
    </w:p>
    <w:p w:rsidR="00AC4D4B" w:rsidRDefault="00AC4D4B" w:rsidP="00AC4D4B">
      <w:pPr>
        <w:spacing w:after="120" w:line="360" w:lineRule="auto"/>
        <w:jc w:val="both"/>
        <w:rPr>
          <w:rFonts w:ascii="Arial" w:hAnsi="Arial"/>
          <w:noProof w:val="0"/>
          <w:rtl/>
        </w:rPr>
      </w:pPr>
      <w:r>
        <w:rPr>
          <w:rFonts w:ascii="Arial" w:hAnsi="Arial"/>
          <w:noProof w:val="0"/>
          <w:rtl/>
        </w:rPr>
        <w:t>14.</w:t>
      </w:r>
      <w:r>
        <w:rPr>
          <w:rFonts w:ascii="Arial" w:hAnsi="Arial"/>
          <w:noProof w:val="0"/>
          <w:rtl/>
        </w:rPr>
        <w:tab/>
        <w:t xml:space="preserve">בד בבד עם הגשת בקשת רשות הערעור, הגישה המבקשת בקשה לעיכוב ביצוע ההחלטה קמא. בהחלטתי </w:t>
      </w:r>
      <w:r>
        <w:rPr>
          <w:rFonts w:ascii="Arial" w:hAnsi="Arial"/>
          <w:noProof w:val="0"/>
          <w:rtl/>
        </w:rPr>
        <w:tab/>
        <w:t xml:space="preserve">מאותו יום (3.7.2024), הוריתי על עיכוב ביצוע ההחלטה נשוא בקשת רשות הערעור עד החלטה אחרת, </w:t>
      </w:r>
      <w:r>
        <w:rPr>
          <w:rFonts w:ascii="Arial" w:hAnsi="Arial"/>
          <w:noProof w:val="0"/>
          <w:rtl/>
        </w:rPr>
        <w:tab/>
        <w:t>והוריתי למשיב להגיב אף לבקשת עיכוב הביצוע, במסגרת תשובתו לבקשת רשות הערעור דנן.</w:t>
      </w:r>
    </w:p>
    <w:p w:rsidR="00AC4D4B" w:rsidRDefault="00AC4D4B" w:rsidP="00AC4D4B">
      <w:pPr>
        <w:spacing w:after="120" w:line="360" w:lineRule="auto"/>
        <w:jc w:val="both"/>
        <w:rPr>
          <w:rFonts w:ascii="Arial" w:hAnsi="Arial"/>
          <w:noProof w:val="0"/>
          <w:rtl/>
        </w:rPr>
      </w:pPr>
    </w:p>
    <w:p w:rsidR="00AC4D4B" w:rsidRDefault="00AC4D4B" w:rsidP="00AC4D4B">
      <w:pPr>
        <w:spacing w:after="120" w:line="360" w:lineRule="auto"/>
        <w:jc w:val="both"/>
        <w:rPr>
          <w:rFonts w:ascii="Arial" w:hAnsi="Arial"/>
          <w:b/>
          <w:bCs/>
          <w:noProof w:val="0"/>
          <w:u w:val="single"/>
          <w:rtl/>
        </w:rPr>
      </w:pPr>
      <w:r>
        <w:rPr>
          <w:rFonts w:ascii="Arial" w:hAnsi="Arial"/>
          <w:b/>
          <w:bCs/>
          <w:noProof w:val="0"/>
          <w:u w:val="single"/>
          <w:rtl/>
        </w:rPr>
        <w:lastRenderedPageBreak/>
        <w:t>תשובת המשיב לבקשת רשות הערעור</w:t>
      </w:r>
    </w:p>
    <w:p w:rsidR="00AC4D4B" w:rsidRDefault="00AC4D4B" w:rsidP="00AC4D4B">
      <w:pPr>
        <w:spacing w:after="120" w:line="360" w:lineRule="auto"/>
        <w:jc w:val="both"/>
        <w:rPr>
          <w:rFonts w:ascii="Arial" w:hAnsi="Arial"/>
          <w:noProof w:val="0"/>
          <w:rtl/>
        </w:rPr>
      </w:pPr>
      <w:r>
        <w:rPr>
          <w:rFonts w:ascii="Arial" w:hAnsi="Arial"/>
          <w:noProof w:val="0"/>
          <w:rtl/>
        </w:rPr>
        <w:t>15.</w:t>
      </w:r>
      <w:r>
        <w:rPr>
          <w:rFonts w:ascii="Arial" w:hAnsi="Arial"/>
          <w:noProof w:val="0"/>
          <w:rtl/>
        </w:rPr>
        <w:tab/>
      </w:r>
      <w:r>
        <w:rPr>
          <w:rFonts w:ascii="Arial" w:hAnsi="Arial"/>
          <w:noProof w:val="0"/>
          <w:u w:val="single"/>
          <w:rtl/>
        </w:rPr>
        <w:t>ביקשתי, וקיבלתי את תשובת המשיב לבקשת רשות הערעור. להלן תמצית טענותיו</w:t>
      </w:r>
      <w:r>
        <w:rPr>
          <w:rFonts w:ascii="Arial" w:hAnsi="Arial"/>
          <w:noProof w:val="0"/>
          <w:rtl/>
        </w:rPr>
        <w:t>:</w:t>
      </w:r>
    </w:p>
    <w:p w:rsidR="00AC4D4B" w:rsidRDefault="00AC4D4B" w:rsidP="00AC4D4B">
      <w:pPr>
        <w:spacing w:after="120" w:line="360" w:lineRule="auto"/>
        <w:ind w:left="1417" w:hanging="709"/>
        <w:jc w:val="both"/>
        <w:rPr>
          <w:rFonts w:ascii="Arial" w:hAnsi="Arial"/>
          <w:noProof w:val="0"/>
          <w:rtl/>
        </w:rPr>
      </w:pPr>
      <w:r>
        <w:rPr>
          <w:rFonts w:ascii="Arial" w:hAnsi="Arial"/>
          <w:noProof w:val="0"/>
          <w:rtl/>
        </w:rPr>
        <w:t>א.</w:t>
      </w:r>
      <w:r>
        <w:rPr>
          <w:rFonts w:ascii="Arial" w:hAnsi="Arial"/>
          <w:noProof w:val="0"/>
          <w:rtl/>
        </w:rPr>
        <w:tab/>
        <w:t>לא נפלו כל פגם או טעות בהחלטה קמא. מקריאת בקשת רשות הערעור נראה כי המבקשת נתלית על דעתה האישית, לפיה מדובר בהחלטה שגויה, אך לא טרחה להצביע על אף אינדיקציה חיצונית המבססת את טענותיה, אלא מלינה על המשיב בלבד.</w:t>
      </w:r>
    </w:p>
    <w:p w:rsidR="00AC4D4B" w:rsidRDefault="00AC4D4B" w:rsidP="00AC4D4B">
      <w:pPr>
        <w:spacing w:after="120" w:line="360" w:lineRule="auto"/>
        <w:ind w:left="1417" w:hanging="709"/>
        <w:jc w:val="both"/>
        <w:rPr>
          <w:rFonts w:ascii="Arial" w:hAnsi="Arial"/>
          <w:noProof w:val="0"/>
          <w:rtl/>
        </w:rPr>
      </w:pPr>
      <w:r>
        <w:rPr>
          <w:rFonts w:ascii="Arial" w:hAnsi="Arial"/>
          <w:noProof w:val="0"/>
          <w:rtl/>
        </w:rPr>
        <w:t>ב.</w:t>
      </w:r>
      <w:r>
        <w:rPr>
          <w:rFonts w:ascii="Arial" w:hAnsi="Arial"/>
          <w:noProof w:val="0"/>
          <w:rtl/>
        </w:rPr>
        <w:tab/>
        <w:t xml:space="preserve">אמנם, המבקשת הגישה את בקשת רשות הערעור על ההחלטה קמא מיום 26.6.24, אך למעשה מדובר בניסיון המבקשת לערער על פסק הדין מיום 5.3.24, ועל פרוטוקול ההתמחרות מיום 16.4.24 ובכך לפגוע בסופיות ההסכם, אשר אושר בנוכחות הצדדים על ידי בית משפט קמא. בנסיבות אלה, אין כל הצדקה </w:t>
      </w:r>
      <w:proofErr w:type="spellStart"/>
      <w:r>
        <w:rPr>
          <w:rFonts w:ascii="Arial" w:hAnsi="Arial"/>
          <w:noProof w:val="0"/>
          <w:rtl/>
        </w:rPr>
        <w:t>ליתן</w:t>
      </w:r>
      <w:proofErr w:type="spellEnd"/>
      <w:r>
        <w:rPr>
          <w:rFonts w:ascii="Arial" w:hAnsi="Arial"/>
          <w:noProof w:val="0"/>
          <w:rtl/>
        </w:rPr>
        <w:t xml:space="preserve"> רשות ערעור למבקשת, מאחר שההליכים בין הצדדים הסתיימו כאמור בפסק דין.</w:t>
      </w:r>
    </w:p>
    <w:p w:rsidR="00AC4D4B" w:rsidRDefault="00AC4D4B" w:rsidP="00AC4D4B">
      <w:pPr>
        <w:spacing w:after="120" w:line="360" w:lineRule="auto"/>
        <w:ind w:left="1417" w:hanging="709"/>
        <w:jc w:val="both"/>
        <w:rPr>
          <w:rFonts w:ascii="Arial" w:hAnsi="Arial"/>
          <w:noProof w:val="0"/>
          <w:rtl/>
        </w:rPr>
      </w:pPr>
      <w:r>
        <w:rPr>
          <w:rFonts w:ascii="Arial" w:hAnsi="Arial"/>
          <w:noProof w:val="0"/>
          <w:rtl/>
        </w:rPr>
        <w:t>ג.</w:t>
      </w:r>
      <w:r>
        <w:rPr>
          <w:rFonts w:ascii="Arial" w:hAnsi="Arial"/>
          <w:noProof w:val="0"/>
          <w:rtl/>
        </w:rPr>
        <w:tab/>
        <w:t xml:space="preserve">המבקשת הפרה את סעיף 2 לפרוטוקול ההתמחרות ולא העבירה את התשלום לידי המשיב במועד הנקוב, אשר לכל המאוחר היה 16.6.24. למחרת ביום 17.6.24, העביר המשיב באמצעות בא כוחו, הודעה לבא </w:t>
      </w:r>
      <w:proofErr w:type="spellStart"/>
      <w:r>
        <w:rPr>
          <w:rFonts w:ascii="Arial" w:hAnsi="Arial"/>
          <w:noProof w:val="0"/>
          <w:rtl/>
        </w:rPr>
        <w:t>כח</w:t>
      </w:r>
      <w:proofErr w:type="spellEnd"/>
      <w:r>
        <w:rPr>
          <w:rFonts w:ascii="Arial" w:hAnsi="Arial"/>
          <w:noProof w:val="0"/>
          <w:rtl/>
        </w:rPr>
        <w:t xml:space="preserve"> המבקשת בתיק קמא, במסגרתה ציין כי לאור אי עמידתה בתנאי הסכם ההתמחרות, קמה לו הזכות לרכוש את חלקה בנכס. כעבור יומיים ביום 19.6.24, הגישה המבקשת את בקשתה קמא למתן אורכה בת עשרה ימים להעברת הכסף.</w:t>
      </w:r>
    </w:p>
    <w:p w:rsidR="00AC4D4B" w:rsidRDefault="00AC4D4B" w:rsidP="00AC4D4B">
      <w:pPr>
        <w:spacing w:after="120" w:line="360" w:lineRule="auto"/>
        <w:ind w:left="1417" w:hanging="709"/>
        <w:jc w:val="both"/>
        <w:rPr>
          <w:rFonts w:ascii="Arial" w:hAnsi="Arial"/>
          <w:noProof w:val="0"/>
          <w:rtl/>
        </w:rPr>
      </w:pPr>
      <w:r>
        <w:rPr>
          <w:rFonts w:ascii="Arial" w:hAnsi="Arial"/>
          <w:noProof w:val="0"/>
          <w:rtl/>
        </w:rPr>
        <w:t>ד.</w:t>
      </w:r>
      <w:r>
        <w:rPr>
          <w:rFonts w:ascii="Arial" w:hAnsi="Arial"/>
          <w:noProof w:val="0"/>
          <w:rtl/>
        </w:rPr>
        <w:tab/>
        <w:t>המבקשת לא פנתה למשיב או לבית משפט קמא בקשה למתן ארכה בטרם חלף המועד לתשלום. היא אף לא העירה בקשר ליכולתה לממן את הרכישה, עת התקבלה טיוטת הסכם המכר הראשונית ביום 20.5.24. למעשה, למבקשת לא היו טענות כלפי המשיב עד ליום 17.6.24, המועד בו הועברה הודעתו בדבר זכותו לרכוש את חלקה בנכס.</w:t>
      </w:r>
    </w:p>
    <w:p w:rsidR="00AC4D4B" w:rsidRDefault="00AC4D4B" w:rsidP="00AC4D4B">
      <w:pPr>
        <w:spacing w:after="120" w:line="360" w:lineRule="auto"/>
        <w:ind w:left="1417" w:hanging="709"/>
        <w:jc w:val="both"/>
        <w:rPr>
          <w:rFonts w:ascii="Arial" w:hAnsi="Arial"/>
          <w:noProof w:val="0"/>
          <w:rtl/>
        </w:rPr>
      </w:pPr>
      <w:r>
        <w:rPr>
          <w:rFonts w:ascii="Arial" w:hAnsi="Arial"/>
          <w:noProof w:val="0"/>
          <w:rtl/>
        </w:rPr>
        <w:t>ה.</w:t>
      </w:r>
      <w:r>
        <w:rPr>
          <w:rFonts w:ascii="Arial" w:hAnsi="Arial"/>
          <w:noProof w:val="0"/>
          <w:rtl/>
        </w:rPr>
        <w:tab/>
        <w:t xml:space="preserve">המבקשת לא צירפה כל אסמכתא לחיזוק טענותיה, ולמעשה הפריחה טענות בעלמא ללא כל ביסוס. אין מדובר ב"פגיעה בזכויות חוקתיות" של המבקשת, אלא באי עמידתה בקריטריונים המאפשרים את קבלת הזכויות הללו. למבקשת ניתנה זכות לבחון את אפשרותה לקבל מימון בנקאי, להשתתף בהתמחרות ולזכות בה, ואף לפנות למשיב טרם חלוף המועד לתשלום – ולבקש את הסכמתו להאריך המועד; את כל הפעולות הנ"ל לא עשתה, לא עמדה במועדים, לא סיפקה סיבה ועל כן אין למבקשת אלא להלין על עצמה. </w:t>
      </w:r>
    </w:p>
    <w:p w:rsidR="00AC4D4B" w:rsidRDefault="00AC4D4B" w:rsidP="00AC4D4B">
      <w:pPr>
        <w:spacing w:after="120" w:line="360" w:lineRule="auto"/>
        <w:ind w:left="1417" w:hanging="709"/>
        <w:jc w:val="both"/>
        <w:rPr>
          <w:rFonts w:ascii="Arial" w:hAnsi="Arial"/>
          <w:noProof w:val="0"/>
          <w:rtl/>
        </w:rPr>
      </w:pPr>
      <w:r>
        <w:rPr>
          <w:rFonts w:ascii="Arial" w:hAnsi="Arial"/>
          <w:noProof w:val="0"/>
          <w:rtl/>
        </w:rPr>
        <w:t>ו.</w:t>
      </w:r>
      <w:r>
        <w:rPr>
          <w:rFonts w:ascii="Arial" w:hAnsi="Arial"/>
          <w:noProof w:val="0"/>
          <w:rtl/>
        </w:rPr>
        <w:tab/>
        <w:t xml:space="preserve">המבקשת מעלה טענות מן היקב ומן הגורן, אשר מוכחשות כליל על ידי המשיב, על מנת להצדיק את הפרת התחייבויותיה ואי תשלום התמורה במועד. המבקשת פעלה בחוסר תום לב, הציגה תיאור עובדתי שגוי והעלתה טענות באופן חלקי ואף שקרי. </w:t>
      </w:r>
    </w:p>
    <w:p w:rsidR="00AC4D4B" w:rsidRDefault="00AC4D4B" w:rsidP="00AC4D4B">
      <w:pPr>
        <w:spacing w:after="120" w:line="360" w:lineRule="auto"/>
        <w:ind w:left="1417" w:hanging="709"/>
        <w:jc w:val="both"/>
        <w:rPr>
          <w:rFonts w:ascii="Arial" w:hAnsi="Arial"/>
          <w:noProof w:val="0"/>
          <w:rtl/>
        </w:rPr>
      </w:pPr>
      <w:r>
        <w:rPr>
          <w:rFonts w:ascii="Arial" w:hAnsi="Arial"/>
          <w:noProof w:val="0"/>
          <w:rtl/>
        </w:rPr>
        <w:t>ז.</w:t>
      </w:r>
      <w:r>
        <w:rPr>
          <w:rFonts w:ascii="Arial" w:hAnsi="Arial"/>
          <w:noProof w:val="0"/>
          <w:rtl/>
        </w:rPr>
        <w:tab/>
        <w:t xml:space="preserve">המשיב פעל בהתאם להחלטות בית המשפט קמא, ועמד בכל התחייבויותיו. בהתאם לפסק הדין קמא מיום 5.3.24, לא חלה עליו חובה כלשהיא לפרוע את ההלוואה </w:t>
      </w:r>
      <w:proofErr w:type="spellStart"/>
      <w:r>
        <w:rPr>
          <w:rFonts w:ascii="Arial" w:hAnsi="Arial"/>
          <w:noProof w:val="0"/>
          <w:rtl/>
        </w:rPr>
        <w:t>מיידית</w:t>
      </w:r>
      <w:proofErr w:type="spellEnd"/>
      <w:r>
        <w:rPr>
          <w:rFonts w:ascii="Arial" w:hAnsi="Arial"/>
          <w:noProof w:val="0"/>
          <w:rtl/>
        </w:rPr>
        <w:t xml:space="preserve">. אין למשיב כל קשר לתנאי המימון של המבקשת; ביום 2.6.24 קיבל המשיב מסמכים לחתימה מהבנק, ולמחרת ביום 3.6.24 העבירם חתומים חזרה לבנק. אי עמידת המבקשת בקריטריונים של הבנק לשם קבלת מימון, לא יכולה להיזקף לחובת המשיב, </w:t>
      </w:r>
      <w:proofErr w:type="spellStart"/>
      <w:r>
        <w:rPr>
          <w:rFonts w:ascii="Arial" w:hAnsi="Arial"/>
          <w:noProof w:val="0"/>
          <w:rtl/>
        </w:rPr>
        <w:t>שמצידו</w:t>
      </w:r>
      <w:proofErr w:type="spellEnd"/>
      <w:r>
        <w:rPr>
          <w:rFonts w:ascii="Arial" w:hAnsi="Arial"/>
          <w:noProof w:val="0"/>
          <w:rtl/>
        </w:rPr>
        <w:t xml:space="preserve"> עמד בכל ההתחייבויות. </w:t>
      </w:r>
    </w:p>
    <w:p w:rsidR="00AC4D4B" w:rsidRDefault="00AC4D4B" w:rsidP="00AC4D4B">
      <w:pPr>
        <w:spacing w:after="120" w:line="360" w:lineRule="auto"/>
        <w:ind w:left="1417" w:hanging="709"/>
        <w:jc w:val="both"/>
        <w:rPr>
          <w:rFonts w:ascii="Arial" w:hAnsi="Arial"/>
          <w:noProof w:val="0"/>
          <w:rtl/>
        </w:rPr>
      </w:pPr>
      <w:r>
        <w:rPr>
          <w:rFonts w:ascii="Arial" w:hAnsi="Arial"/>
          <w:noProof w:val="0"/>
          <w:rtl/>
        </w:rPr>
        <w:lastRenderedPageBreak/>
        <w:t>ח.</w:t>
      </w:r>
      <w:r>
        <w:rPr>
          <w:rFonts w:ascii="Arial" w:hAnsi="Arial"/>
          <w:noProof w:val="0"/>
          <w:rtl/>
        </w:rPr>
        <w:tab/>
        <w:t>לנוכח כל האמור לעיל, ולנוכח עמדת המשיב לפיה יש לדחות את בקשת רשות הערעור, אין להיעתר לבקשת עיכוב הביצוע שהגישה המבקשת, בד בבד עם בקשת רשות הערעור דנן.</w:t>
      </w:r>
    </w:p>
    <w:p w:rsidR="00AC4D4B" w:rsidRDefault="00AC4D4B" w:rsidP="00AC4D4B">
      <w:pPr>
        <w:spacing w:after="120" w:line="360" w:lineRule="auto"/>
        <w:ind w:left="1417" w:hanging="709"/>
        <w:jc w:val="both"/>
        <w:rPr>
          <w:rFonts w:ascii="Arial" w:hAnsi="Arial"/>
          <w:noProof w:val="0"/>
          <w:rtl/>
        </w:rPr>
      </w:pPr>
    </w:p>
    <w:p w:rsidR="00AC4D4B" w:rsidRDefault="00AC4D4B" w:rsidP="00AC4D4B">
      <w:pPr>
        <w:spacing w:after="120" w:line="360" w:lineRule="auto"/>
        <w:jc w:val="both"/>
        <w:rPr>
          <w:rFonts w:ascii="Arial" w:hAnsi="Arial"/>
          <w:b/>
          <w:bCs/>
          <w:noProof w:val="0"/>
          <w:u w:val="single"/>
          <w:rtl/>
        </w:rPr>
      </w:pPr>
      <w:r>
        <w:rPr>
          <w:rFonts w:ascii="Arial" w:hAnsi="Arial"/>
          <w:b/>
          <w:bCs/>
          <w:noProof w:val="0"/>
          <w:u w:val="single"/>
          <w:rtl/>
        </w:rPr>
        <w:t>דיון והכרעה</w:t>
      </w:r>
    </w:p>
    <w:p w:rsidR="00AC4D4B" w:rsidRDefault="00AC4D4B" w:rsidP="00AC4D4B">
      <w:pPr>
        <w:spacing w:after="120" w:line="360" w:lineRule="auto"/>
        <w:ind w:left="720" w:hanging="720"/>
        <w:jc w:val="both"/>
        <w:rPr>
          <w:rFonts w:ascii="David" w:hAnsi="David"/>
          <w:noProof w:val="0"/>
          <w:rtl/>
        </w:rPr>
      </w:pPr>
      <w:r>
        <w:rPr>
          <w:rFonts w:ascii="Arial" w:hAnsi="Arial"/>
          <w:noProof w:val="0"/>
          <w:rtl/>
        </w:rPr>
        <w:t>16.</w:t>
      </w:r>
      <w:r>
        <w:rPr>
          <w:rFonts w:ascii="Arial" w:hAnsi="Arial"/>
          <w:noProof w:val="0"/>
          <w:rtl/>
        </w:rPr>
        <w:tab/>
      </w:r>
      <w:r>
        <w:rPr>
          <w:rFonts w:ascii="Arial" w:hAnsi="Arial"/>
          <w:b/>
          <w:bCs/>
          <w:noProof w:val="0"/>
          <w:rtl/>
        </w:rPr>
        <w:t xml:space="preserve">לאחר עיון בבקשת רשות הערעור על נספחיה, בתשובת המשיב ובתיק קמא שוכנעתי </w:t>
      </w:r>
      <w:proofErr w:type="spellStart"/>
      <w:r>
        <w:rPr>
          <w:rFonts w:ascii="Arial" w:hAnsi="Arial"/>
          <w:b/>
          <w:bCs/>
          <w:noProof w:val="0"/>
          <w:rtl/>
        </w:rPr>
        <w:t>ליתן</w:t>
      </w:r>
      <w:proofErr w:type="spellEnd"/>
      <w:r>
        <w:rPr>
          <w:rFonts w:ascii="Arial" w:hAnsi="Arial"/>
          <w:b/>
          <w:bCs/>
          <w:noProof w:val="0"/>
          <w:rtl/>
        </w:rPr>
        <w:t xml:space="preserve"> רשות ערעור, לדון בבקשה כבערעור, ולדחות את הערעור </w:t>
      </w:r>
      <w:proofErr w:type="spellStart"/>
      <w:r>
        <w:rPr>
          <w:rFonts w:ascii="Arial" w:hAnsi="Arial"/>
          <w:b/>
          <w:bCs/>
          <w:noProof w:val="0"/>
          <w:rtl/>
        </w:rPr>
        <w:t>מכח</w:t>
      </w:r>
      <w:proofErr w:type="spellEnd"/>
      <w:r>
        <w:rPr>
          <w:rFonts w:ascii="Arial" w:hAnsi="Arial"/>
          <w:b/>
          <w:bCs/>
          <w:noProof w:val="0"/>
          <w:rtl/>
        </w:rPr>
        <w:t xml:space="preserve"> סמכותי על פי תקנות 138(א)(2) + (5) לתקנות.</w:t>
      </w:r>
    </w:p>
    <w:p w:rsidR="00AC4D4B" w:rsidRDefault="00AC4D4B" w:rsidP="00AC4D4B">
      <w:pPr>
        <w:spacing w:after="120" w:line="360" w:lineRule="auto"/>
        <w:ind w:left="720" w:hanging="720"/>
        <w:jc w:val="both"/>
        <w:rPr>
          <w:rFonts w:ascii="Arial" w:hAnsi="Arial"/>
          <w:noProof w:val="0"/>
        </w:rPr>
      </w:pPr>
      <w:r>
        <w:rPr>
          <w:rFonts w:ascii="Arial" w:hAnsi="Arial"/>
          <w:noProof w:val="0"/>
          <w:rtl/>
        </w:rPr>
        <w:tab/>
        <w:t>להלן אנמק את החלטתי.</w:t>
      </w:r>
    </w:p>
    <w:p w:rsidR="00AC4D4B" w:rsidRDefault="00AC4D4B" w:rsidP="00AC4D4B">
      <w:pPr>
        <w:spacing w:after="120" w:line="360" w:lineRule="auto"/>
        <w:ind w:left="720" w:hanging="720"/>
        <w:jc w:val="both"/>
        <w:rPr>
          <w:rFonts w:ascii="David" w:hAnsi="David"/>
          <w:color w:val="000000"/>
          <w:rtl/>
        </w:rPr>
      </w:pPr>
      <w:r>
        <w:rPr>
          <w:rFonts w:ascii="Arial" w:hAnsi="Arial"/>
          <w:noProof w:val="0"/>
          <w:rtl/>
        </w:rPr>
        <w:t>17.</w:t>
      </w:r>
      <w:r>
        <w:rPr>
          <w:rFonts w:ascii="Arial" w:hAnsi="Arial"/>
          <w:noProof w:val="0"/>
          <w:rtl/>
        </w:rPr>
        <w:tab/>
      </w:r>
      <w:r>
        <w:rPr>
          <w:rFonts w:ascii="David" w:hAnsi="David"/>
          <w:color w:val="000000"/>
          <w:rtl/>
        </w:rPr>
        <w:t>המבקשת התרעמה בבקשתה על כך שלא הצליחה לגייס את המימון הבנקאי בסד הזמנים שנקבע בפסק הדין קמא (מיום 5.3.24), והטילה את האחריות למצבה על המשיב, כך לגרסתה. אולם עיון בתשובת המשיב מלמד, כי המשיב פעל למעשה בהתאם לכל ההוראות שניתנו על ידי בית משפט קמא, לאורך כל ההליך – והמבקשת היא זו שלא עמדה במועדים שנקבעו בפסק הדין קמא ובהחלטות לאחריו. ככל הנראה אף לא עמדה בקריטריונים לקבלת המימון לרכישת חלקו של המשיב בדירה.</w:t>
      </w:r>
    </w:p>
    <w:p w:rsidR="00AC4D4B" w:rsidRDefault="00AC4D4B" w:rsidP="00AC4D4B">
      <w:pPr>
        <w:spacing w:after="120" w:line="360" w:lineRule="auto"/>
        <w:ind w:left="720" w:hanging="720"/>
        <w:jc w:val="both"/>
        <w:rPr>
          <w:rFonts w:ascii="David" w:hAnsi="David"/>
          <w:color w:val="000000"/>
          <w:rtl/>
        </w:rPr>
      </w:pPr>
      <w:r>
        <w:rPr>
          <w:rFonts w:ascii="David" w:hAnsi="David"/>
          <w:color w:val="000000"/>
          <w:rtl/>
        </w:rPr>
        <w:t>18.</w:t>
      </w:r>
      <w:r>
        <w:rPr>
          <w:rFonts w:ascii="David" w:hAnsi="David"/>
          <w:color w:val="000000"/>
          <w:rtl/>
        </w:rPr>
        <w:tab/>
        <w:t xml:space="preserve">כך למשל, טענה המבקשת בבקשתה, כי אחת הסיבות לכשלונה בקבלת מימון בנקאי (בזמן או בכלל) היתה דרישת הבנק לסגירת הלוואה שנטלו הצדדים וטרם החזירו לבנק, ועיכוב בסגירת ההלוואה גרם, כך לדבריה, לעיכוב במתן אישור למימון המיוחל. עוד לטענת המבקשת, המשיב הוא זה שעיכב את סגירת ההלוואה, עת לא שיתף עמה פעולה בהעברת מחצית גובה הסכום. אלא שמפסק הדין קמא עולה, וכך אף טען המשיב בתשובתו, כי המשיב לא התחייב לסגור את ההלוואה בבת אחת אלא לסלק מחצית מסך ההחזר </w:t>
      </w:r>
      <w:r>
        <w:rPr>
          <w:rFonts w:ascii="David" w:hAnsi="David"/>
          <w:color w:val="000000"/>
          <w:u w:val="single"/>
          <w:rtl/>
        </w:rPr>
        <w:t>החודשי</w:t>
      </w:r>
      <w:r>
        <w:rPr>
          <w:rFonts w:ascii="David" w:hAnsi="David"/>
          <w:color w:val="000000"/>
          <w:rtl/>
        </w:rPr>
        <w:t>, היורד מחשבונה של המבקשת. כך שנימוק זה לא יכול לעמוד לרעת המשיב.</w:t>
      </w:r>
    </w:p>
    <w:p w:rsidR="00AC4D4B" w:rsidRDefault="00AC4D4B" w:rsidP="00AC4D4B">
      <w:pPr>
        <w:spacing w:after="120" w:line="360" w:lineRule="auto"/>
        <w:ind w:left="720" w:hanging="720"/>
        <w:jc w:val="both"/>
        <w:rPr>
          <w:rFonts w:ascii="David" w:hAnsi="David"/>
          <w:color w:val="000000"/>
          <w:rtl/>
        </w:rPr>
      </w:pPr>
      <w:r>
        <w:rPr>
          <w:rFonts w:ascii="David" w:hAnsi="David"/>
          <w:color w:val="000000"/>
          <w:rtl/>
        </w:rPr>
        <w:t>19.</w:t>
      </w:r>
      <w:r>
        <w:rPr>
          <w:rFonts w:ascii="David" w:hAnsi="David"/>
          <w:color w:val="000000"/>
          <w:rtl/>
        </w:rPr>
        <w:tab/>
        <w:t xml:space="preserve">עוד טענה המבקשת בעצמה (בבקשתה קמא מיום 19.6.24), </w:t>
      </w:r>
      <w:r>
        <w:rPr>
          <w:rFonts w:ascii="Arial" w:hAnsi="Arial"/>
          <w:noProof w:val="0"/>
          <w:rtl/>
        </w:rPr>
        <w:t xml:space="preserve">כי מלכתחילה "הרגישה" שפרק הזמן לתשלום עליו הסכימו הצדדים (60 יום ממועד ההתמחרות) אינו מספיק </w:t>
      </w:r>
      <w:r>
        <w:rPr>
          <w:rFonts w:ascii="David" w:hAnsi="David"/>
          <w:color w:val="000000"/>
          <w:rtl/>
        </w:rPr>
        <w:t xml:space="preserve">אבל "קיוותה להסתדר", כך לדבריה. אלא שהמבקשת לא פנתה למשיב, וממילא לא לבית משפט קמא, בשום שלב לאורך שישים הימים שהוקצו לה – ולא ביקשה אורכה או בחינה מחדש של סד הזמנים שנקבע. התרשמתי כי בנסיבות אלו, אין למבקשת להלין אלא על עצמה. </w:t>
      </w:r>
    </w:p>
    <w:p w:rsidR="00AC4D4B" w:rsidRDefault="00AC4D4B" w:rsidP="00AC4D4B">
      <w:pPr>
        <w:spacing w:after="120" w:line="360" w:lineRule="auto"/>
        <w:ind w:left="720" w:hanging="720"/>
        <w:jc w:val="both"/>
        <w:rPr>
          <w:rFonts w:ascii="David" w:hAnsi="David"/>
          <w:color w:val="000000"/>
          <w:rtl/>
        </w:rPr>
      </w:pPr>
      <w:r>
        <w:rPr>
          <w:rFonts w:ascii="David" w:hAnsi="David"/>
          <w:color w:val="000000"/>
          <w:rtl/>
        </w:rPr>
        <w:t>20.</w:t>
      </w:r>
      <w:r>
        <w:rPr>
          <w:rFonts w:ascii="David" w:hAnsi="David"/>
          <w:color w:val="000000"/>
          <w:rtl/>
        </w:rPr>
        <w:tab/>
        <w:t xml:space="preserve">עוד אוסיף ואחדד, כי ידועה הפסיקה הקובעת, שבית משפט של ערעור לא מעמיד עצמו במקום הערכאה המבררת בבחינת המסכת העובדתית שנפרשה לפניו, אלא אם כן בולטת בהחלטתו טעות משפטית היורדת לשורש העניין, או שהדברים מופרכים ובלתי סבירים (ראו לעניין זה למשל: ע"א 1394/18 </w:t>
      </w:r>
      <w:r>
        <w:rPr>
          <w:rFonts w:ascii="David" w:hAnsi="David"/>
          <w:b/>
          <w:bCs/>
          <w:color w:val="000000"/>
          <w:rtl/>
        </w:rPr>
        <w:t xml:space="preserve">יהודה זרובבלי נ' עלומים, קבוצת בני עקיבא להתיישבות חקלאית שיתופית בע"מ </w:t>
      </w:r>
      <w:r>
        <w:rPr>
          <w:rFonts w:ascii="David" w:hAnsi="David"/>
          <w:color w:val="000000"/>
          <w:rtl/>
        </w:rPr>
        <w:t>(27.11.2018), פסקה 8).</w:t>
      </w:r>
    </w:p>
    <w:p w:rsidR="00AC4D4B" w:rsidRDefault="00AC4D4B" w:rsidP="00AC4D4B">
      <w:pPr>
        <w:spacing w:after="120" w:line="360" w:lineRule="auto"/>
        <w:ind w:left="720" w:hanging="720"/>
        <w:jc w:val="both"/>
        <w:rPr>
          <w:rFonts w:ascii="David" w:hAnsi="David"/>
          <w:color w:val="000000"/>
          <w:rtl/>
        </w:rPr>
      </w:pPr>
      <w:r>
        <w:rPr>
          <w:rFonts w:ascii="David" w:hAnsi="David"/>
          <w:color w:val="000000"/>
          <w:rtl/>
        </w:rPr>
        <w:tab/>
      </w:r>
      <w:r>
        <w:rPr>
          <w:rFonts w:ascii="Arial" w:hAnsi="Arial"/>
          <w:b/>
          <w:bCs/>
          <w:noProof w:val="0"/>
          <w:rtl/>
        </w:rPr>
        <w:t>לא מצאתי בנסיבות העניין כי נפלה טעות בהחלטה קמא, שתצדיק, באופן חריג, את התערבות ערכאת הערעור</w:t>
      </w:r>
      <w:r>
        <w:rPr>
          <w:rFonts w:ascii="Arial" w:hAnsi="Arial"/>
          <w:noProof w:val="0"/>
          <w:rtl/>
        </w:rPr>
        <w:t>; ההחלטה קמא מנומקת ומבוססת בנסיבות המקרה.</w:t>
      </w:r>
    </w:p>
    <w:p w:rsidR="00AC4D4B" w:rsidRDefault="00AC4D4B" w:rsidP="00AC4D4B">
      <w:pPr>
        <w:spacing w:after="120" w:line="360" w:lineRule="auto"/>
        <w:ind w:left="720" w:hanging="720"/>
        <w:jc w:val="both"/>
        <w:rPr>
          <w:rFonts w:ascii="Arial" w:hAnsi="Arial"/>
          <w:noProof w:val="0"/>
          <w:rtl/>
        </w:rPr>
      </w:pPr>
      <w:r>
        <w:rPr>
          <w:rFonts w:ascii="Arial" w:hAnsi="Arial"/>
          <w:noProof w:val="0"/>
          <w:rtl/>
        </w:rPr>
        <w:t>21.</w:t>
      </w:r>
      <w:r>
        <w:rPr>
          <w:rFonts w:ascii="Arial" w:hAnsi="Arial"/>
          <w:noProof w:val="0"/>
          <w:rtl/>
        </w:rPr>
        <w:tab/>
      </w:r>
      <w:r>
        <w:rPr>
          <w:rFonts w:ascii="Arial" w:hAnsi="Arial"/>
          <w:b/>
          <w:bCs/>
          <w:noProof w:val="0"/>
          <w:rtl/>
        </w:rPr>
        <w:t>לאור כל האמור לעיל שוכנעתי לדחות את הערעור.</w:t>
      </w:r>
      <w:r>
        <w:rPr>
          <w:rFonts w:ascii="Arial" w:hAnsi="Arial"/>
          <w:noProof w:val="0"/>
          <w:rtl/>
        </w:rPr>
        <w:t xml:space="preserve"> משזו תוצאת הערעור דנן, מתייתר הצורך לדון בבקשת עיכוב הביצוע, ואני מורה על ביטול עיכוב הביצוע שניתן בהחלטתי מיום 3.7.24.</w:t>
      </w:r>
    </w:p>
    <w:p w:rsidR="00AC4D4B" w:rsidRDefault="00AC4D4B" w:rsidP="00AC4D4B">
      <w:pPr>
        <w:spacing w:after="120" w:line="360" w:lineRule="auto"/>
        <w:ind w:left="720" w:hanging="720"/>
        <w:jc w:val="both"/>
        <w:rPr>
          <w:rFonts w:ascii="Arial" w:hAnsi="Arial"/>
          <w:noProof w:val="0"/>
          <w:rtl/>
        </w:rPr>
      </w:pPr>
      <w:r>
        <w:rPr>
          <w:rFonts w:ascii="Arial" w:hAnsi="Arial"/>
          <w:noProof w:val="0"/>
          <w:rtl/>
        </w:rPr>
        <w:lastRenderedPageBreak/>
        <w:t>22.</w:t>
      </w:r>
      <w:r>
        <w:rPr>
          <w:rFonts w:ascii="Arial" w:hAnsi="Arial"/>
          <w:noProof w:val="0"/>
          <w:rtl/>
        </w:rPr>
        <w:tab/>
      </w:r>
      <w:r>
        <w:rPr>
          <w:rFonts w:ascii="David" w:hAnsi="David"/>
          <w:rtl/>
        </w:rPr>
        <w:t xml:space="preserve">המבקשת תישא בהוצאות המשיב בגין ערעור זה, בסך כולל של 3,000 ₪. סך זה ישולם למשיב מתוך הערבון שהפקידה המבקשת בתיק; יתרת הערבון </w:t>
      </w:r>
      <w:r>
        <w:rPr>
          <w:rFonts w:ascii="Arial" w:hAnsi="Arial"/>
          <w:noProof w:val="0"/>
          <w:rtl/>
        </w:rPr>
        <w:t>תוחזר לידי מפקידתו, באמצעות באת כוחה.</w:t>
      </w:r>
    </w:p>
    <w:p w:rsidR="00AC4D4B" w:rsidRDefault="00AC4D4B" w:rsidP="00AC4D4B">
      <w:pPr>
        <w:spacing w:after="120" w:line="360" w:lineRule="auto"/>
        <w:ind w:left="720" w:hanging="720"/>
        <w:jc w:val="both"/>
        <w:rPr>
          <w:rFonts w:ascii="Arial" w:hAnsi="Arial"/>
          <w:b/>
          <w:bCs/>
          <w:noProof w:val="0"/>
          <w:rtl/>
        </w:rPr>
      </w:pPr>
      <w:r>
        <w:rPr>
          <w:rFonts w:ascii="Arial" w:hAnsi="Arial"/>
          <w:b/>
          <w:bCs/>
          <w:noProof w:val="0"/>
          <w:rtl/>
        </w:rPr>
        <w:tab/>
      </w:r>
    </w:p>
    <w:p w:rsidR="00AC4D4B" w:rsidRDefault="00AC4D4B" w:rsidP="00AC4D4B">
      <w:pPr>
        <w:spacing w:after="120" w:line="360" w:lineRule="auto"/>
        <w:ind w:left="720" w:hanging="720"/>
        <w:jc w:val="both"/>
        <w:rPr>
          <w:rFonts w:ascii="Arial" w:hAnsi="Arial"/>
          <w:noProof w:val="0"/>
          <w:rtl/>
        </w:rPr>
      </w:pPr>
      <w:r>
        <w:rPr>
          <w:rFonts w:ascii="Arial" w:hAnsi="Arial"/>
          <w:b/>
          <w:bCs/>
          <w:noProof w:val="0"/>
          <w:rtl/>
        </w:rPr>
        <w:t>פסק דין זה מותר לפרסום תוך השמטת שמות הצדדים, וכל פרט מזהה אחר.</w:t>
      </w:r>
      <w:r>
        <w:rPr>
          <w:rtl/>
        </w:rPr>
        <w:tab/>
      </w:r>
      <w:r>
        <w:rPr>
          <w:rtl/>
        </w:rPr>
        <w:tab/>
      </w:r>
      <w:r>
        <w:rPr>
          <w:rtl/>
        </w:rPr>
        <w:tab/>
        <w:t xml:space="preserve">        </w:t>
      </w: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ט"ז תמוז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22 יולי 2024</w:t>
          </w:r>
        </w:sdtContent>
      </w:sdt>
      <w:r w:rsidR="00005C8B">
        <w:rPr>
          <w:rFonts w:ascii="Arial" w:hAnsi="Arial"/>
          <w:noProof w:val="0"/>
          <w:rtl/>
        </w:rPr>
        <w:t>, בהעדר הצדדים.</w:t>
      </w:r>
    </w:p>
    <w:p w:rsidR="00C43648" w:rsidRDefault="00C51143"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438215006"/>
        </w:sdtPr>
        <w:sdtEndPr/>
        <w:sdtContent>
          <w:r w:rsidR="003C11A8">
            <w:drawing>
              <wp:inline distT="0" distB="0" distL="0" distR="0" wp14:editId="50D07946">
                <wp:extent cx="1650492" cy="12070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50492" cy="1207008"/>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AC4D4B">
      <w:headerReference w:type="even" r:id="rId10"/>
      <w:headerReference w:type="default" r:id="rId11"/>
      <w:footerReference w:type="even" r:id="rId12"/>
      <w:footerReference w:type="default" r:id="rId13"/>
      <w:headerReference w:type="first" r:id="rId14"/>
      <w:footerReference w:type="first" r:id="rId15"/>
      <w:pgSz w:w="11907" w:h="16840" w:code="9"/>
      <w:pgMar w:top="1440" w:right="850" w:bottom="1440" w:left="1134"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1143" w:rsidRDefault="00C51143">
      <w:r>
        <w:separator/>
      </w:r>
    </w:p>
  </w:endnote>
  <w:endnote w:type="continuationSeparator" w:id="0">
    <w:p w:rsidR="00C51143" w:rsidRDefault="00C51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6AAB" w:rsidRDefault="00CB6AA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CB6AAB">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CB6AAB">
      <w:rPr>
        <w:rStyle w:val="ab"/>
        <w:rFonts w:ascii="David" w:hAnsi="David"/>
        <w:rtl/>
      </w:rPr>
      <w:t>7</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6AAB" w:rsidRDefault="00CB6AA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1143" w:rsidRDefault="00C51143">
      <w:r>
        <w:separator/>
      </w:r>
    </w:p>
  </w:footnote>
  <w:footnote w:type="continuationSeparator" w:id="0">
    <w:p w:rsidR="00C51143" w:rsidRDefault="00C511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6AAB" w:rsidRDefault="00CB6AA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AC4D4B" w:rsidRDefault="00C51143" w:rsidP="002D45CB">
          <w:pPr>
            <w:rPr>
              <w:b/>
              <w:bCs/>
              <w:noProof w:val="0"/>
              <w:sz w:val="26"/>
              <w:szCs w:val="26"/>
              <w:rtl/>
            </w:rPr>
          </w:pPr>
          <w:sdt>
            <w:sdtPr>
              <w:rPr>
                <w:rtl/>
              </w:rPr>
              <w:alias w:val="1170"/>
              <w:tag w:val="1170"/>
              <w:id w:val="1066377040"/>
              <w:text w:multiLine="1"/>
            </w:sdtPr>
            <w:sdtEndPr/>
            <w:sdtContent>
              <w:proofErr w:type="spellStart"/>
              <w:r w:rsidR="00424313">
                <w:rPr>
                  <w:b/>
                  <w:bCs/>
                  <w:noProof w:val="0"/>
                  <w:sz w:val="26"/>
                  <w:szCs w:val="26"/>
                  <w:rtl/>
                </w:rPr>
                <w:t>רמ"ש</w:t>
              </w:r>
              <w:proofErr w:type="spellEnd"/>
            </w:sdtContent>
          </w:sdt>
          <w:r w:rsidR="00005C8B">
            <w:rPr>
              <w:b/>
              <w:bCs/>
              <w:noProof w:val="0"/>
              <w:sz w:val="26"/>
              <w:szCs w:val="26"/>
              <w:rtl/>
            </w:rPr>
            <w:t xml:space="preserve"> </w:t>
          </w:r>
          <w:bookmarkStart w:id="0" w:name="_GoBack"/>
          <w:sdt>
            <w:sdtPr>
              <w:rPr>
                <w:rtl/>
              </w:rPr>
              <w:alias w:val="1171"/>
              <w:tag w:val="1171"/>
              <w:id w:val="257034231"/>
              <w:text w:multiLine="1"/>
            </w:sdtPr>
            <w:sdtEndPr/>
            <w:sdtContent>
              <w:r w:rsidR="00424313">
                <w:rPr>
                  <w:b/>
                  <w:bCs/>
                  <w:noProof w:val="0"/>
                  <w:sz w:val="26"/>
                  <w:szCs w:val="26"/>
                  <w:rtl/>
                </w:rPr>
                <w:t>7411-07-24</w:t>
              </w:r>
            </w:sdtContent>
          </w:sdt>
          <w:bookmarkEnd w:id="0"/>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2D45CB">
                <w:rPr>
                  <w:b/>
                  <w:bCs/>
                  <w:noProof w:val="0"/>
                  <w:sz w:val="26"/>
                  <w:szCs w:val="26"/>
                  <w:rtl/>
                </w:rPr>
                <w:t>ו</w:t>
              </w:r>
              <w:r w:rsidR="002D45CB">
                <w:rPr>
                  <w:rFonts w:hint="cs"/>
                  <w:b/>
                  <w:bCs/>
                  <w:noProof w:val="0"/>
                  <w:sz w:val="26"/>
                  <w:szCs w:val="26"/>
                  <w:rtl/>
                </w:rPr>
                <w:t>'</w:t>
              </w:r>
              <w:r w:rsidR="002D45CB">
                <w:rPr>
                  <w:b/>
                  <w:bCs/>
                  <w:noProof w:val="0"/>
                  <w:sz w:val="26"/>
                  <w:szCs w:val="26"/>
                  <w:rtl/>
                </w:rPr>
                <w:t xml:space="preserve"> נ' ו</w:t>
              </w:r>
              <w:r w:rsidR="002D45CB">
                <w:rPr>
                  <w:rFonts w:hint="cs"/>
                  <w:b/>
                  <w:bCs/>
                  <w:noProof w:val="0"/>
                  <w:sz w:val="26"/>
                  <w:szCs w:val="26"/>
                  <w:rtl/>
                </w:rPr>
                <w:t>'</w:t>
              </w:r>
            </w:sdtContent>
          </w:sdt>
          <w:r w:rsidR="007C2453">
            <w:rPr>
              <w:b/>
              <w:bCs/>
              <w:noProof w:val="0"/>
              <w:sz w:val="26"/>
              <w:szCs w:val="26"/>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6AAB" w:rsidRDefault="00CB6AA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36355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363555&amp;lt;/CaseID&amp;gt;_x000d__x000a_        &amp;lt;CaseMonth&amp;gt;7&amp;lt;/CaseMonth&amp;gt;_x000d__x000a_        &amp;lt;CaseYear&amp;gt;2024&amp;lt;/CaseYear&amp;gt;_x000d__x000a_        &amp;lt;CaseNumber&amp;gt;7411&amp;lt;/CaseNumber&amp;gt;_x000d__x000a_        &amp;lt;NumeratorGroupID&amp;gt;1&amp;lt;/NumeratorGroupID&amp;gt;_x000d__x000a_        &amp;lt;CaseName&amp;gt;וולוביי נ&amp;#39; וולוביי&amp;lt;/CaseName&amp;gt;_x000d__x000a_        &amp;lt;CourtID&amp;gt;13&amp;lt;/CourtID&amp;gt;_x000d__x000a_        &amp;lt;CaseTypeID&amp;gt;10074&amp;lt;/CaseTypeID&amp;gt;_x000d__x000a_        &amp;lt;CaseInterestID&amp;gt;101&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7411-07-24&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4-07-03T08:37: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תיק עבר ללשכה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363555&amp;lt;/CaseID&amp;gt;_x000d__x000a_        &amp;lt;CaseMonth&amp;gt;7&amp;lt;/CaseMonth&amp;gt;_x000d__x000a_        &amp;lt;CaseYear&amp;gt;2024&amp;lt;/CaseYear&amp;gt;_x000d__x000a_        &amp;lt;CaseNumber&amp;gt;7411&amp;lt;/CaseNumber&amp;gt;_x000d__x000a_        &amp;lt;NumeratorGroupID&amp;gt;1&amp;lt;/NumeratorGroupID&amp;gt;_x000d__x000a_        &amp;lt;CaseName&amp;gt;וולוביי נ&amp;#39; וולוביי&amp;lt;/CaseName&amp;gt;_x000d__x000a_        &amp;lt;CourtID&amp;gt;13&amp;lt;/CourtID&amp;gt;_x000d__x000a_        &amp;lt;CaseTypeID&amp;gt;10074&amp;lt;/CaseTypeID&amp;gt;_x000d__x000a_        &amp;lt;CaseInterestID&amp;gt;101&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7411-07-24&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CaseNextDeterminingTask&amp;gt;140&amp;lt;/CaseNextDeterminingTask&amp;gt;_x000d__x000a_        &amp;lt;CaseOpenDate&amp;gt;2024-07-03T08:37: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תיק עבר ללשכה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3018735&amp;lt;/DecisionID&amp;gt;_x000d__x000a_        &amp;lt;DecisionName&amp;gt;פסק דין  שניתנה ע&amp;quot;י  חננאל שרעבי&amp;lt;/DecisionName&amp;gt;_x000d__x000a_        &amp;lt;DecisionStatusID&amp;gt;1&amp;lt;/DecisionStatusID&amp;gt;_x000d__x000a_        &amp;lt;DecisionStatusChangeDate&amp;gt;2024-07-22T14:40:24.15+03:00&amp;lt;/DecisionStatusChangeDate&amp;gt;_x000d__x000a_        &amp;lt;DecisionSignatureDate&amp;gt;2024-07-22T14:37:07.727+03:00&amp;lt;/DecisionSignatureDate&amp;gt;_x000d__x000a_        &amp;lt;DecisionSignatureUserID&amp;gt;056479827@GOV.IL&amp;lt;/DecisionSignatureUserID&amp;gt;_x000d__x000a_        &amp;lt;DecisionCreateDate&amp;gt;2024-07-22T14:40:24.133+03:00&amp;lt;/DecisionCreateDate&amp;gt;_x000d__x000a_        &amp;lt;DecisionChangeDate&amp;gt;2024-07-22T14:40:24.353+03:00&amp;lt;/DecisionChangeDate&amp;gt;_x000d__x000a_        &amp;lt;DecisionChangeUserID&amp;gt;04336874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9522232&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4798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3368745@GOV.IL&amp;lt;/DecisionCreationUserID&amp;gt;_x000d__x000a_        &amp;lt;DecisionDisplayName&amp;gt;פסק דין  שניתנה ע&amp;quot;י  חננאל שרעבי&amp;lt;/DecisionDisplayName&amp;gt;_x000d__x000a_        &amp;lt;IsScanned&amp;gt;false&amp;lt;/IsScanned&amp;gt;_x000d__x000a_        &amp;lt;DecisionSignatureUserName&amp;gt;חננאל שרעב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amp;lt;/DecisionNumberInCase&amp;gt;_x000d__x000a_      &amp;lt;/dt_Decision&amp;gt;_x000d__x000a_      &amp;lt;dt_DecisionCase diffgr:id=&amp;quot;dt_DecisionCase1&amp;quot; msdata:rowOrder=&amp;quot;0&amp;quot;&amp;gt;_x000d__x000a_        &amp;lt;DecisionID&amp;gt;153018735&amp;lt;/DecisionID&amp;gt;_x000d__x000a_        &amp;lt;CaseID&amp;gt;81363555&amp;lt;/CaseID&amp;gt;_x000d__x000a_        &amp;lt;IsOriginal&amp;gt;true&amp;lt;/IsOriginal&amp;gt;_x000d__x000a_        &amp;lt;IsDeleted&amp;gt;false&amp;lt;/IsDeleted&amp;gt;_x000d__x000a_        &amp;lt;CaseName&amp;gt;וולוביי נ&amp;#39; וולוביי&amp;lt;/CaseName&amp;gt;_x000d__x000a_        &amp;lt;CaseDisplayIdentifier&amp;gt;7411-07-24 רמ&amp;quot;ש&amp;lt;/CaseDisplayIdentifier&amp;gt;_x000d__x000a_      &amp;lt;/dt_DecisionCase&amp;gt;_x000d__x000a_    &amp;lt;/DecisionDS&amp;gt;_x000d__x000a_  &amp;lt;/diffgr:diffgram&amp;gt;_x000d__x000a_&amp;lt;/DecisionDS&amp;gt;"/>
    <w:docVar w:name="DecisionID" w:val="153018735"/>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1603"/>
    <w:rsid w:val="001367BC"/>
    <w:rsid w:val="00144D2A"/>
    <w:rsid w:val="0014653E"/>
    <w:rsid w:val="00180519"/>
    <w:rsid w:val="00191C82"/>
    <w:rsid w:val="00197941"/>
    <w:rsid w:val="001C4003"/>
    <w:rsid w:val="001D4DBF"/>
    <w:rsid w:val="001E75CA"/>
    <w:rsid w:val="002265FF"/>
    <w:rsid w:val="002519A2"/>
    <w:rsid w:val="00271B56"/>
    <w:rsid w:val="00272E32"/>
    <w:rsid w:val="002C344E"/>
    <w:rsid w:val="002D45CB"/>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C11A8"/>
    <w:rsid w:val="003D1C8C"/>
    <w:rsid w:val="003E38C7"/>
    <w:rsid w:val="0040096C"/>
    <w:rsid w:val="00414F1F"/>
    <w:rsid w:val="00422BEE"/>
    <w:rsid w:val="00424313"/>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140F"/>
    <w:rsid w:val="00547DB7"/>
    <w:rsid w:val="00557717"/>
    <w:rsid w:val="00576A86"/>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0349"/>
    <w:rsid w:val="00AC3B02"/>
    <w:rsid w:val="00AC3B7B"/>
    <w:rsid w:val="00AC4D4B"/>
    <w:rsid w:val="00AC5209"/>
    <w:rsid w:val="00AE0E34"/>
    <w:rsid w:val="00AE729E"/>
    <w:rsid w:val="00AE7752"/>
    <w:rsid w:val="00AF7FDA"/>
    <w:rsid w:val="00B3777C"/>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51143"/>
    <w:rsid w:val="00C642FA"/>
    <w:rsid w:val="00C770E3"/>
    <w:rsid w:val="00CB6AAB"/>
    <w:rsid w:val="00CC7622"/>
    <w:rsid w:val="00CD608F"/>
    <w:rsid w:val="00CF6BB7"/>
    <w:rsid w:val="00D04AA4"/>
    <w:rsid w:val="00D27982"/>
    <w:rsid w:val="00D33B86"/>
    <w:rsid w:val="00D44968"/>
    <w:rsid w:val="00D53924"/>
    <w:rsid w:val="00D55D0C"/>
    <w:rsid w:val="00D86772"/>
    <w:rsid w:val="00D96D8C"/>
    <w:rsid w:val="00DA2495"/>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72340689">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48651F"/>
    <w:rsid w:val="005157ED"/>
    <w:rsid w:val="005171E8"/>
    <w:rsid w:val="005272D4"/>
    <w:rsid w:val="00556D67"/>
    <w:rsid w:val="006377AB"/>
    <w:rsid w:val="00793995"/>
    <w:rsid w:val="007C6F98"/>
    <w:rsid w:val="007E254A"/>
    <w:rsid w:val="00817811"/>
    <w:rsid w:val="008B4366"/>
    <w:rsid w:val="009133C7"/>
    <w:rsid w:val="009178E4"/>
    <w:rsid w:val="00961B27"/>
    <w:rsid w:val="009A4BEE"/>
    <w:rsid w:val="00A51CA1"/>
    <w:rsid w:val="00AA7CE3"/>
    <w:rsid w:val="00AD53D7"/>
    <w:rsid w:val="00B13E8A"/>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81363555</CaseID>
    <CaseJudicialPersonPresentationDS>
      <CaseJudicalPersonActive>
        <CaseID>81363555</CaseID>
        <JudicialPersonID>056479827@GOV.IL</JudicialPersonID>
        <JudicialPersonTypeID>1</JudicialPersonTypeID>
        <JudicialTypeID>1</JudicialTypeID>
        <IsChairman>false</IsChairman>
        <TreatmentStartDate>2024-07-03T09:26:40.4+03:00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1 - נתבע</RoleName>
        <IsSubProceeding>FALSE</IsSubProceeding>
        <FullName>נטלי וולוביי</FullName>
        <FirstName>נטלי</FirstName>
        <LastName>וולוביי</LastName>
        <PartyPropertyName/>
        <AuthenticationTypeAndNumber>ת"ז 304574957</AuthenticationTypeAndNumber>
        <RepresentatedOrRepresentativesNames>שרין סולן</RepresentatedOrRepresentativesNames>
        <RepresentatedOrRepresentativesCount>1</RepresentatedOrRepresentativesCount>
        <InvitedBy/>
        <CaseID>81363555</CaseID>
        <CaseJudicialPersonPresentationDS>
          <CaseJudicalPersonActive>
            <CaseID>81363555</CaseID>
            <JudicialPersonID>056479827@GOV.IL</JudicialPersonID>
            <JudicialPersonTypeID>1</JudicialPersonTypeID>
            <JudicialTypeID>1</JudicialTypeID>
            <IsChairman>false</IsChairman>
            <TreatmentStartDate>2024-07-03T09:26:40.4+03:00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272243237</CasePartyID>
        <PartyTypeID>1</PartyTypeID>
        <ActivityStatusID>1</ActivityStatusID>
        <PartyAliasID>3</PartyAliasID>
        <PartyAliasName>מבקש</PartyAliasName>
        <OrdinalNumber>1</OrdinalNumber>
        <LegalEntityID>74943477</LegalEntityID>
        <CaseLegalEntityID>129505635</CaseLegalEntityID>
        <AuthenticationTypeID>1</AuthenticationTypeID>
        <AuthenticationTypeName>ת"ז</AuthenticationTypeName>
        <LegalEntityNumber>304574957</LegalEntityNumber>
        <IsMainPartyType>true</IsMainPartyType>
        <CaseDisplayIdentifier>7411-07-24</CaseDisplayIdentifier>
        <CaseTypeID>10074</CaseTypeID>
        <CaseTypeName>רשות ערעור משפחה (רמ"ש)</CaseTypeName>
        <CaseName>וולוביי נ' וולוביי</CaseName>
        <FullAddress>עופרה חזה 4 דירה 18 עכו עכו</FullAddress>
        <EmailAddress>natalivoll23@gmail.com</EmailAddress>
        <MotionID>0</MotionID>
        <CasePleaID>0</CasePleaID>
        <FatherName>יארוסלב</FatherName>
        <LinkedCaseID>0</LinkedCaseID>
        <PartyID>1</PartyID>
        <CasePartyCategoryID>2</CasePartyCategoryID>
        <LegalEntityAddressID>88634888</LegalEntityAddressID>
        <LegalEntityEmailAddressID>68323614</LegalEntityEmailAddressID>
        <PleaTypeID>5</PleaTypeID>
        <GroupPartyAlias>מבקשים</GroupPartyAlias>
        <IsConverted>false</IsConverted>
        <LegalEntityRegisteredNameID>4984241</LegalEntityRegisteredNameID>
        <LegalEntityNameID>95749385</LegalEntityNameID>
        <RepresentatedNamesOfAssistant/>
        <LegalEntityTypeID>1</LegalEntityTypeID>
        <IsVerdictExists>false</IsVerdictExists>
        <IsAsirAzir>false</IsAsirAzir>
        <MainAndSecSpec/>
        <IsPublicationProhibited>false</IsPublicationProhibited>
        <PublicationProhibitedFullName>נטלי וולוביי</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שרין סולן</FullName>
        <FirstName>שרין</FirstName>
        <LastName>סולן</LastName>
        <PartyPropertyName/>
        <AuthenticationTypeAndNumber>מ.ר. 8222</AuthenticationTypeAndNumber>
        <RepresentatedOrRepresentativesNames>נטלי וולוביי</RepresentatedOrRepresentativesNames>
        <RepresentatedOrRepresentativesCount>1</RepresentatedOrRepresentativesCount>
        <InvitedBy/>
        <CaseID>81363555</CaseID>
        <CaseJudicialPersonPresentationDS>
          <CaseJudicalPersonActive>
            <CaseID>81363555</CaseID>
            <JudicialPersonID>056479827@GOV.IL</JudicialPersonID>
            <JudicialPersonTypeID>1</JudicialPersonTypeID>
            <JudicialTypeID>1</JudicialTypeID>
            <IsChairman>false</IsChairman>
            <TreatmentStartDate>2024-07-03T09:26:40.4+03:00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272243239</CasePartyID>
        <PartyTypeID>2</PartyTypeID>
        <ActivityStatusID>1</ActivityStatusID>
        <PartyAliasID>22</PartyAliasID>
        <PartyAliasName>בא כוח מבקשים</PartyAliasName>
        <OrdinalNumber>1</OrdinalNumber>
        <LegalEntityID>394098</LegalEntityID>
        <CaseLegalEntityID>129505637</CaseLegalEntityID>
        <AuthenticationTypeID>4</AuthenticationTypeID>
        <AuthenticationTypeName>מ.ר.</AuthenticationTypeName>
        <LegalEntityNumber>8222</LegalEntityNumber>
        <IsMainPartyType>true</IsMainPartyType>
        <CaseDisplayIdentifier>7411-07-24</CaseDisplayIdentifier>
        <CaseTypeID>10074</CaseTypeID>
        <CaseTypeName>רשות ערעור משפחה (רמ"ש)</CaseTypeName>
        <CaseName>וולוביי נ' וולוביי</CaseName>
        <FullAddress>פל ים 2 חיפה </FullAddress>
        <MotionID>0</MotionID>
        <CasePleaID>0</CasePleaID>
        <FatherName xml:space="preserve">        </FatherName>
        <LinkedCaseID>0</LinkedCaseID>
        <PartyID>1</PartyID>
        <CasePartyCategoryID>2</CasePartyCategoryID>
        <LegalEntityAddressID>422116</LegalEntityAddressID>
        <PleaTypeID>5</PleaTypeID>
        <LawyerOfficeName>שרין סולן</LawyerOfficeName>
        <LawyerOfficeID>419778</LawyerOfficeID>
        <GroupPartyAlias/>
        <IsConverted>false</IsConverted>
        <LegalEntityNameID>15082</LegalEntityNameID>
        <RepresentatedNamesOfAssistant/>
        <LegalEntityTypeID>4</LegalEntityTypeID>
        <IsVerdictExists>false</IsVerdictExists>
        <IsAsirAzir>false</IsAsirAzir>
        <MainAndSecSpec/>
        <IsPublicationProhibited>false</IsPublicationProhibited>
        <PublicationProhibitedFullName>שרין סולן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גבי שמואלי</FullName>
        <FirstName>גבי</FirstName>
        <LastName>שמואלי</LastName>
        <PartyPropertyName/>
        <AuthenticationTypeAndNumber>מ.ר. 41351</AuthenticationTypeAndNumber>
        <RepresentatedOrRepresentativesNames>סמיון וולוביי</RepresentatedOrRepresentativesNames>
        <RepresentatedOrRepresentativesCount>1</RepresentatedOrRepresentativesCount>
        <InvitedBy/>
        <CaseID>81363555</CaseID>
        <CaseJudicialPersonPresentationDS>
          <CaseJudicalPersonActive>
            <CaseID>81363555</CaseID>
            <JudicialPersonID>056479827@GOV.IL</JudicialPersonID>
            <JudicialPersonTypeID>1</JudicialPersonTypeID>
            <JudicialTypeID>1</JudicialTypeID>
            <IsChairman>false</IsChairman>
            <TreatmentStartDate>2024-07-03T09:26:40.4+03:00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272243240</CasePartyID>
        <PartyTypeID>2</PartyTypeID>
        <ActivityStatusID>1</ActivityStatusID>
        <PartyAliasID>23</PartyAliasID>
        <PartyAliasName>בא כוח משיבים</PartyAliasName>
        <OrdinalNumber>1</OrdinalNumber>
        <LegalEntityID>414248</LegalEntityID>
        <CaseLegalEntityID>129505638</CaseLegalEntityID>
        <AuthenticationTypeID>4</AuthenticationTypeID>
        <AuthenticationTypeName>מ.ר.</AuthenticationTypeName>
        <LegalEntityNumber>41351</LegalEntityNumber>
        <IsMainPartyType>true</IsMainPartyType>
        <CaseDisplayIdentifier>7411-07-24</CaseDisplayIdentifier>
        <CaseTypeID>10074</CaseTypeID>
        <CaseTypeName>רשות ערעור משפחה (רמ"ש)</CaseTypeName>
        <CaseName>וולוביי נ' וולוביי</CaseName>
        <FullAddress>משה גושן 63/3 קריית מוצקין </FullAddress>
        <MotionID>0</MotionID>
        <CasePleaID>0</CasePleaID>
        <FatherName xml:space="preserve">        </FatherName>
        <LinkedCaseID>0</LinkedCaseID>
        <PartyID>2</PartyID>
        <CasePartyCategoryID>2</CasePartyCategoryID>
        <LegalEntityAddressID>70448694</LegalEntityAddressID>
        <PleaTypeID>5</PleaTypeID>
        <LawyerOfficeName>משרד עו"ד גבי שמואלי</LawyerOfficeName>
        <LawyerOfficeID>69687709</LawyerOfficeID>
        <GroupPartyAlias/>
        <IsConverted>false</IsConverted>
        <LegalEntityNameID>35232</LegalEntityNameID>
        <RepresentatedNamesOfAssistant/>
        <LegalEntityTypeID>4</LegalEntityTypeID>
        <IsVerdictExists>false</IsVerdictExists>
        <IsAsirAzir>false</IsAsirAzir>
        <MainAndSecSpec/>
        <IsPublicationProhibited>false</IsPublicationProhibited>
        <PublicationProhibitedFullName>גבי שמואלי</PublicationProhibitedFullName>
      </CaseParties>
      <CaseParties>
        <PartyTypeName>צד</PartyTypeName>
        <ProceedingType>כתב טענות עיקרי</ProceedingType>
        <PleaName>כתב בקשה</PleaName>
        <PartyBelonging>צד ב'</PartyBelonging>
        <RoleName>משיב 1 - תובע</RoleName>
        <IsSubProceeding>FALSE</IsSubProceeding>
        <FullName>סמיון וולוביי</FullName>
        <FirstName>סמיון</FirstName>
        <LastName>וולוביי</LastName>
        <PartyPropertyName/>
        <AuthenticationTypeAndNumber>ת"ז 311923882</AuthenticationTypeAndNumber>
        <RepresentatedOrRepresentativesNames>גבי שמואלי</RepresentatedOrRepresentativesNames>
        <RepresentatedOrRepresentativesCount>1</RepresentatedOrRepresentativesCount>
        <InvitedBy/>
        <CaseID>81363555</CaseID>
        <CaseJudicialPersonPresentationDS>
          <CaseJudicalPersonActive>
            <CaseID>81363555</CaseID>
            <JudicialPersonID>056479827@GOV.IL</JudicialPersonID>
            <JudicialPersonTypeID>1</JudicialPersonTypeID>
            <JudicialTypeID>1</JudicialTypeID>
            <IsChairman>false</IsChairman>
            <TreatmentStartDate>2024-07-03T09:26:40.4+03:00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272243238</CasePartyID>
        <PartyTypeID>1</PartyTypeID>
        <ActivityStatusID>1</ActivityStatusID>
        <PartyAliasID>4</PartyAliasID>
        <PartyAliasName>משיב</PartyAliasName>
        <OrdinalNumber>1</OrdinalNumber>
        <LegalEntityID>74292053</LegalEntityID>
        <CaseLegalEntityID>129505636</CaseLegalEntityID>
        <AuthenticationTypeID>1</AuthenticationTypeID>
        <AuthenticationTypeName>ת"ז</AuthenticationTypeName>
        <LegalEntityNumber>311923882</LegalEntityNumber>
        <IsMainPartyType>true</IsMainPartyType>
        <CaseDisplayIdentifier>7411-07-24</CaseDisplayIdentifier>
        <CaseTypeID>10074</CaseTypeID>
        <CaseTypeName>רשות ערעור משפחה (רמ"ש)</CaseTypeName>
        <CaseName>וולוביי נ' וולוביי</CaseName>
        <FullAddress>עופרה חזה 4/18 עכו עכו</FullAddress>
        <MotionID>0</MotionID>
        <CasePleaID>0</CasePleaID>
        <FatherName>ולרי</FatherName>
        <LinkedCaseID>0</LinkedCaseID>
        <PartyID>2</PartyID>
        <CasePartyCategoryID>2</CasePartyCategoryID>
        <LegalEntityAddressID>88634887</LegalEntityAddressID>
        <PleaTypeID>5</PleaTypeID>
        <GroupPartyAlias>משיבים</GroupPartyAlias>
        <IsConverted>false</IsConverted>
        <LegalEntityRegisteredNameID>4984242</LegalEntityRegisteredNameID>
        <LegalEntityNameID>95749384</LegalEntityNameID>
        <RepresentatedNamesOfAssistant/>
        <LegalEntityTypeID>1</LegalEntityTypeID>
        <IsVerdictExists>false</IsVerdictExists>
        <IsAsirAzir>false</IsAsirAzir>
        <MainAndSecSpec/>
        <IsPublicationProhibited>false</IsPublicationProhibited>
        <PublicationProhibitedFullName>סמיון וולוביי</PublicationProhibitedFullName>
      </CaseParties>
    </CasePartiesSelectionDS>
    <DecisionName>פסק דין  שניתנה ע"י  חננאל שרעבי</DecisionName>
    <CourtDisplayName>בית המשפט המחוזי בחיפה בשבתו כבית-משפט לערעורים אזרחיים</CourtDisplayName>
    <IsCaseJudgePanel>false</IsCaseJudgePanel>
    <DecisionSignatureDate>2024-07-22T14:37:07.7282779+03:00</DecisionSignatureDate>
    <OpenCaseDate>2024-07-03T08:37:00+03:00</OpenCaseDate>
    <CaseFeeSum>0.000</CaseFeeSum>
    <DecisionTypeID>2</DecisionTypeID>
    <DecisionSignatureUserName>חננאל שרעבי</DecisionSignatureUserName>
    <DecisionSignatureDateHebrew>2024-07-22T14:37:07.7282779+03:00</DecisionSignatureDateHebrew>
    <DecisionWriterID>056479827@GOV.IL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וולוביי נ' וולוביי</CaseName>
    <DecisionNumberInCase>4</DecisionNumberInCase>
  </dt_Decision>
  <dt_DecisionCase>
    <DecisionID>0</DecisionID>
    <CaseID>81363555</CaseID>
    <CaseJudicialPersonPresentationDS>
      <CaseJudicalPersonActive>
        <CaseID>81363555</CaseID>
        <JudicialPersonID>056479827@GOV.IL</JudicialPersonID>
        <JudicialPersonTypeID>1</JudicialPersonTypeID>
        <JudicialTypeID>1</JudicialTypeID>
        <IsChairman>false</IsChairman>
        <TreatmentStartDate>2024-07-03T09:26:40.4+03:00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1 - נתבע</RoleName>
        <IsSubProceeding>FALSE</IsSubProceeding>
        <FullName>נטלי וולוביי</FullName>
        <FirstName>נטלי</FirstName>
        <LastName>וולוביי</LastName>
        <PartyPropertyName/>
        <AuthenticationTypeAndNumber>ת"ז 304574957</AuthenticationTypeAndNumber>
        <RepresentatedOrRepresentativesNames>שרין סולן</RepresentatedOrRepresentativesNames>
        <RepresentatedOrRepresentativesCount>1</RepresentatedOrRepresentativesCount>
        <InvitedBy/>
        <CaseID>81363555</CaseID>
        <CaseJudicialPersonPresentationDS>
          <CaseJudicalPersonActive>
            <CaseID>81363555</CaseID>
            <JudicialPersonID>056479827@GOV.IL</JudicialPersonID>
            <JudicialPersonTypeID>1</JudicialPersonTypeID>
            <JudicialTypeID>1</JudicialTypeID>
            <IsChairman>false</IsChairman>
            <TreatmentStartDate>2024-07-03T09:26:40.4+03:00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272243237</CasePartyID>
        <PartyTypeID>1</PartyTypeID>
        <ActivityStatusID>1</ActivityStatusID>
        <PartyAliasID>3</PartyAliasID>
        <PartyAliasName>מבקש</PartyAliasName>
        <OrdinalNumber>1</OrdinalNumber>
        <LegalEntityID>74943477</LegalEntityID>
        <CaseLegalEntityID>129505635</CaseLegalEntityID>
        <AuthenticationTypeID>1</AuthenticationTypeID>
        <AuthenticationTypeName>ת"ז</AuthenticationTypeName>
        <LegalEntityNumber>304574957</LegalEntityNumber>
        <IsMainPartyType>true</IsMainPartyType>
        <CaseDisplayIdentifier>7411-07-24</CaseDisplayIdentifier>
        <CaseTypeID>10074</CaseTypeID>
        <CaseTypeName>רשות ערעור משפחה (רמ"ש)</CaseTypeName>
        <CaseName>וולוביי נ' וולוביי</CaseName>
        <FullAddress>עופרה חזה 4 דירה 18 עכו עכו</FullAddress>
        <EmailAddress>natalivoll23@gmail.com</EmailAddress>
        <MotionID>0</MotionID>
        <CasePleaID>0</CasePleaID>
        <FatherName>יארוסלב</FatherName>
        <LinkedCaseID>0</LinkedCaseID>
        <PartyID>1</PartyID>
        <CasePartyCategoryID>2</CasePartyCategoryID>
        <LegalEntityAddressID>88634888</LegalEntityAddressID>
        <LegalEntityEmailAddressID>68323614</LegalEntityEmailAddressID>
        <PleaTypeID>5</PleaTypeID>
        <GroupPartyAlias>מבקשים</GroupPartyAlias>
        <IsConverted>false</IsConverted>
        <LegalEntityRegisteredNameID>4984241</LegalEntityRegisteredNameID>
        <LegalEntityNameID>95749385</LegalEntityNameID>
        <RepresentatedNamesOfAssistant/>
        <LegalEntityTypeID>1</LegalEntityTypeID>
        <IsVerdictExists>false</IsVerdictExists>
        <IsAsirAzir>false</IsAsirAzir>
        <MainAndSecSpec/>
        <IsPublicationProhibited>false</IsPublicationProhibited>
        <PublicationProhibitedFullName>נטלי וולוביי</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שרין סולן</FullName>
        <FirstName>שרין</FirstName>
        <LastName>סולן</LastName>
        <PartyPropertyName/>
        <AuthenticationTypeAndNumber>מ.ר. 8222</AuthenticationTypeAndNumber>
        <RepresentatedOrRepresentativesNames>נטלי וולוביי</RepresentatedOrRepresentativesNames>
        <RepresentatedOrRepresentativesCount>1</RepresentatedOrRepresentativesCount>
        <InvitedBy/>
        <CaseID>81363555</CaseID>
        <CaseJudicialPersonPresentationDS>
          <CaseJudicalPersonActive>
            <CaseID>81363555</CaseID>
            <JudicialPersonID>056479827@GOV.IL</JudicialPersonID>
            <JudicialPersonTypeID>1</JudicialPersonTypeID>
            <JudicialTypeID>1</JudicialTypeID>
            <IsChairman>false</IsChairman>
            <TreatmentStartDate>2024-07-03T09:26:40.4+03:00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272243239</CasePartyID>
        <PartyTypeID>2</PartyTypeID>
        <ActivityStatusID>1</ActivityStatusID>
        <PartyAliasID>22</PartyAliasID>
        <PartyAliasName>בא כוח מבקשים</PartyAliasName>
        <OrdinalNumber>1</OrdinalNumber>
        <LegalEntityID>394098</LegalEntityID>
        <CaseLegalEntityID>129505637</CaseLegalEntityID>
        <AuthenticationTypeID>4</AuthenticationTypeID>
        <AuthenticationTypeName>מ.ר.</AuthenticationTypeName>
        <LegalEntityNumber>8222</LegalEntityNumber>
        <IsMainPartyType>true</IsMainPartyType>
        <CaseDisplayIdentifier>7411-07-24</CaseDisplayIdentifier>
        <CaseTypeID>10074</CaseTypeID>
        <CaseTypeName>רשות ערעור משפחה (רמ"ש)</CaseTypeName>
        <CaseName>וולוביי נ' וולוביי</CaseName>
        <FullAddress>פל ים 2 חיפה </FullAddress>
        <MotionID>0</MotionID>
        <CasePleaID>0</CasePleaID>
        <FatherName xml:space="preserve">        </FatherName>
        <LinkedCaseID>0</LinkedCaseID>
        <PartyID>1</PartyID>
        <CasePartyCategoryID>2</CasePartyCategoryID>
        <LegalEntityAddressID>422116</LegalEntityAddressID>
        <PleaTypeID>5</PleaTypeID>
        <LawyerOfficeName>שרין סולן</LawyerOfficeName>
        <LawyerOfficeID>419778</LawyerOfficeID>
        <GroupPartyAlias/>
        <IsConverted>false</IsConverted>
        <LegalEntityNameID>15082</LegalEntityNameID>
        <RepresentatedNamesOfAssistant/>
        <LegalEntityTypeID>4</LegalEntityTypeID>
        <IsVerdictExists>false</IsVerdictExists>
        <IsAsirAzir>false</IsAsirAzir>
        <MainAndSecSpec/>
        <IsPublicationProhibited>false</IsPublicationProhibited>
        <PublicationProhibitedFullName>שרין סולן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גבי שמואלי</FullName>
        <FirstName>גבי</FirstName>
        <LastName>שמואלי</LastName>
        <PartyPropertyName/>
        <AuthenticationTypeAndNumber>מ.ר. 41351</AuthenticationTypeAndNumber>
        <RepresentatedOrRepresentativesNames>סמיון וולוביי</RepresentatedOrRepresentativesNames>
        <RepresentatedOrRepresentativesCount>1</RepresentatedOrRepresentativesCount>
        <InvitedBy/>
        <CaseID>81363555</CaseID>
        <CaseJudicialPersonPresentationDS>
          <CaseJudicalPersonActive>
            <CaseID>81363555</CaseID>
            <JudicialPersonID>056479827@GOV.IL</JudicialPersonID>
            <JudicialPersonTypeID>1</JudicialPersonTypeID>
            <JudicialTypeID>1</JudicialTypeID>
            <IsChairman>false</IsChairman>
            <TreatmentStartDate>2024-07-03T09:26:40.4+03:00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272243240</CasePartyID>
        <PartyTypeID>2</PartyTypeID>
        <ActivityStatusID>1</ActivityStatusID>
        <PartyAliasID>23</PartyAliasID>
        <PartyAliasName>בא כוח משיבים</PartyAliasName>
        <OrdinalNumber>1</OrdinalNumber>
        <LegalEntityID>414248</LegalEntityID>
        <CaseLegalEntityID>129505638</CaseLegalEntityID>
        <AuthenticationTypeID>4</AuthenticationTypeID>
        <AuthenticationTypeName>מ.ר.</AuthenticationTypeName>
        <LegalEntityNumber>41351</LegalEntityNumber>
        <IsMainPartyType>true</IsMainPartyType>
        <CaseDisplayIdentifier>7411-07-24</CaseDisplayIdentifier>
        <CaseTypeID>10074</CaseTypeID>
        <CaseTypeName>רשות ערעור משפחה (רמ"ש)</CaseTypeName>
        <CaseName>וולוביי נ' וולוביי</CaseName>
        <FullAddress>משה גושן 63/3 קריית מוצקין </FullAddress>
        <MotionID>0</MotionID>
        <CasePleaID>0</CasePleaID>
        <FatherName xml:space="preserve">        </FatherName>
        <LinkedCaseID>0</LinkedCaseID>
        <PartyID>2</PartyID>
        <CasePartyCategoryID>2</CasePartyCategoryID>
        <LegalEntityAddressID>70448694</LegalEntityAddressID>
        <PleaTypeID>5</PleaTypeID>
        <LawyerOfficeName>משרד עו"ד גבי שמואלי</LawyerOfficeName>
        <LawyerOfficeID>69687709</LawyerOfficeID>
        <GroupPartyAlias/>
        <IsConverted>false</IsConverted>
        <LegalEntityNameID>35232</LegalEntityNameID>
        <RepresentatedNamesOfAssistant/>
        <LegalEntityTypeID>4</LegalEntityTypeID>
        <IsVerdictExists>false</IsVerdictExists>
        <IsAsirAzir>false</IsAsirAzir>
        <MainAndSecSpec/>
        <IsPublicationProhibited>false</IsPublicationProhibited>
        <PublicationProhibitedFullName>גבי שמואלי</PublicationProhibitedFullName>
      </CaseParties>
      <CaseParties>
        <PartyTypeName>צד</PartyTypeName>
        <ProceedingType>כתב טענות עיקרי</ProceedingType>
        <PleaName>כתב בקשה</PleaName>
        <PartyBelonging>צד ב'</PartyBelonging>
        <RoleName>משיב 1 - תובע</RoleName>
        <IsSubProceeding>FALSE</IsSubProceeding>
        <FullName>סמיון וולוביי</FullName>
        <FirstName>סמיון</FirstName>
        <LastName>וולוביי</LastName>
        <PartyPropertyName/>
        <AuthenticationTypeAndNumber>ת"ז 311923882</AuthenticationTypeAndNumber>
        <RepresentatedOrRepresentativesNames>גבי שמואלי</RepresentatedOrRepresentativesNames>
        <RepresentatedOrRepresentativesCount>1</RepresentatedOrRepresentativesCount>
        <InvitedBy/>
        <CaseID>81363555</CaseID>
        <CaseJudicialPersonPresentationDS>
          <CaseJudicalPersonActive>
            <CaseID>81363555</CaseID>
            <JudicialPersonID>056479827@GOV.IL</JudicialPersonID>
            <JudicialPersonTypeID>1</JudicialPersonTypeID>
            <JudicialTypeID>1</JudicialTypeID>
            <IsChairman>false</IsChairman>
            <TreatmentStartDate>2024-07-03T09:26:40.4+03:00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272243238</CasePartyID>
        <PartyTypeID>1</PartyTypeID>
        <ActivityStatusID>1</ActivityStatusID>
        <PartyAliasID>4</PartyAliasID>
        <PartyAliasName>משיב</PartyAliasName>
        <OrdinalNumber>1</OrdinalNumber>
        <LegalEntityID>74292053</LegalEntityID>
        <CaseLegalEntityID>129505636</CaseLegalEntityID>
        <AuthenticationTypeID>1</AuthenticationTypeID>
        <AuthenticationTypeName>ת"ז</AuthenticationTypeName>
        <LegalEntityNumber>311923882</LegalEntityNumber>
        <IsMainPartyType>true</IsMainPartyType>
        <CaseDisplayIdentifier>7411-07-24</CaseDisplayIdentifier>
        <CaseTypeID>10074</CaseTypeID>
        <CaseTypeName>רשות ערעור משפחה (רמ"ש)</CaseTypeName>
        <CaseName>וולוביי נ' וולוביי</CaseName>
        <FullAddress>עופרה חזה 4/18 עכו עכו</FullAddress>
        <MotionID>0</MotionID>
        <CasePleaID>0</CasePleaID>
        <FatherName>ולרי</FatherName>
        <LinkedCaseID>0</LinkedCaseID>
        <PartyID>2</PartyID>
        <CasePartyCategoryID>2</CasePartyCategoryID>
        <LegalEntityAddressID>88634887</LegalEntityAddressID>
        <PleaTypeID>5</PleaTypeID>
        <GroupPartyAlias>משיבים</GroupPartyAlias>
        <IsConverted>false</IsConverted>
        <LegalEntityRegisteredNameID>4984242</LegalEntityRegisteredNameID>
        <LegalEntityNameID>95749384</LegalEntityNameID>
        <RepresentatedNamesOfAssistant/>
        <LegalEntityTypeID>1</LegalEntityTypeID>
        <IsVerdictExists>false</IsVerdictExists>
        <IsAsirAzir>false</IsAsirAzir>
        <MainAndSecSpec/>
        <IsPublicationProhibited>false</IsPublicationProhibited>
        <PublicationProhibitedFullName>סמיון וולוביי</PublicationProhibitedFullName>
      </CaseParties>
    </CasePartiesSelectionDS>
    <CaseName>וולוביי נ' וולוביי</CaseName>
    <CaseDisplayIdentifier>7411-07-24</CaseDisplayIdentifier>
    <CaseInterestID>101</CaseInterestID>
    <CaseTypeShortName>רמ"ש</CaseTypeShortName>
  </dt_DecisionCase>
  <dt_DecisionJudgePanel>
    <JudgeID>056479827@GOV.IL</JudgeID>
    <DisplayName>חננאל שרעבי</DisplayName>
    <RoleName>שופט</RoleName>
    <UserTitleName>שופט</UserTitleName>
  </dt_DecisionJudgePanel>
  <dt_LegalEntityDetails>
    <AddressDesc>עכו</AddressDesc>
    <PartyID>1</PartyID>
    <PartyTypeID>1</PartyTypeID>
    <DecisionID>0</DecisionID>
    <StreetName>עופרה חזה 4 דירה 18</StreetName>
    <CityName>עכו</CityName>
    <FullName>נטלי וולוביי</FullName>
    <Email>natalivoll23@gmail.com</Email>
    <IsPublicationProhibited>false</IsPublicationProhibited>
  </dt_LegalEntityDetails>
  <dt_LegalEntityDetails>
    <AddressDesc>עכו</AddressDesc>
    <PartyID>2</PartyID>
    <PartyTypeID>1</PartyTypeID>
    <DecisionID>0</DecisionID>
    <StreetName>עופרה חזה 4/18</StreetName>
    <CityName>עכו</CityName>
    <FullName>סמיון וולוביי</FullName>
    <IsPublicationProhibited>false</IsPublicationProhibited>
  </dt_LegalEntityDetails>
  <dt_LegalEntityDetails>
    <Fax>04-8668884</Fax>
    <PartyID>1</PartyID>
    <PartyTypeID>2</PartyTypeID>
    <DecisionID>0</DecisionID>
    <StreetName>פל ים 2</StreetName>
    <ZipCode>33095</ZipCode>
    <CityName>חיפה</CityName>
    <FullName>שרין סולן</FullName>
    <Email>solanlaw@gmail.com</Email>
    <IsPublicationProhibited>false</IsPublicationProhibited>
  </dt_LegalEntityDetails>
  <dt_LegalEntityDetails>
    <Fax>04-8716183</Fax>
    <Phone>04-8734233</Phone>
    <PartyID>2</PartyID>
    <PartyTypeID>2</PartyTypeID>
    <DecisionID>0</DecisionID>
    <StreetName>משה גושן 63/3</StreetName>
    <ZipCode>26313</ZipCode>
    <CityName>קריית מוצקין</CityName>
    <FullName>גבי שמואלי</FullName>
    <Email>gs.lawoffice2@gmail.com</Email>
    <IsPublicationProhibited>false</IsPublicationProhibited>
  </dt_LegalEntityDetails>
  <dt_CaseJudicalPersonActive>
    <CaseJudicalPerson>שופט חננאל שרעבי</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84E683-9418-413F-BD88-6B8B8DC51BFA}">
  <ds:schemaRefs/>
</ds:datastoreItem>
</file>

<file path=customXml/itemProps2.xml><?xml version="1.0" encoding="utf-8"?>
<ds:datastoreItem xmlns:ds="http://schemas.openxmlformats.org/officeDocument/2006/customXml" ds:itemID="{951D76EF-8A95-4C98-A8A2-7D4327CFB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2111</Words>
  <Characters>10556</Characters>
  <Application>Microsoft Office Word</Application>
  <DocSecurity>0</DocSecurity>
  <Lines>87</Lines>
  <Paragraphs>25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dcterms:created xsi:type="dcterms:W3CDTF">2024-07-30T05:26:00Z</dcterms:created>
  <dcterms:modified xsi:type="dcterms:W3CDTF">2024-07-30T05:26:00Z</dcterms:modified>
</cp:coreProperties>
</file>